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5BBE" w:rsidRPr="00D5072F" w:rsidRDefault="00B95BBE" w:rsidP="00B95BBE">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B95BBE" w:rsidRPr="006627B8" w:rsidTr="00D13B13">
        <w:trPr>
          <w:trHeight w:val="432"/>
        </w:trPr>
        <w:tc>
          <w:tcPr>
            <w:tcW w:w="10368" w:type="dxa"/>
            <w:shd w:val="clear" w:color="auto" w:fill="000080"/>
          </w:tcPr>
          <w:p w:rsidR="00B95BBE" w:rsidRPr="006627B8" w:rsidRDefault="00B95BBE" w:rsidP="00D13B13">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Branch</w:t>
            </w:r>
            <w:r w:rsidRPr="00D5072F">
              <w:rPr>
                <w:b/>
                <w:color w:val="FFFFFF"/>
                <w:sz w:val="24"/>
                <w:vertAlign w:val="superscript"/>
              </w:rPr>
              <w:t xml:space="preserve"> </w:t>
            </w:r>
            <w:r w:rsidRPr="006627B8">
              <w:rPr>
                <w:b/>
                <w:sz w:val="24"/>
                <w:highlight w:val="lightGray"/>
                <w:u w:val="single"/>
                <w:lang w:val="it-IT"/>
              </w:rPr>
              <w:fldChar w:fldCharType="begin">
                <w:ffData>
                  <w:name w:val=""/>
                  <w:enabled/>
                  <w:calcOnExit w:val="0"/>
                  <w:textInput/>
                </w:ffData>
              </w:fldChar>
            </w:r>
            <w:r w:rsidRPr="00D5072F">
              <w:rPr>
                <w:b/>
                <w:sz w:val="24"/>
                <w:highlight w:val="lightGray"/>
                <w:u w:val="single"/>
              </w:rPr>
              <w:instrText xml:space="preserve"> FORMTEXT </w:instrText>
            </w:r>
            <w:r w:rsidRPr="006627B8">
              <w:rPr>
                <w:b/>
                <w:sz w:val="24"/>
                <w:highlight w:val="lightGray"/>
                <w:u w:val="single"/>
                <w:lang w:val="it-IT"/>
              </w:rPr>
            </w:r>
            <w:r w:rsidRPr="006627B8">
              <w:rPr>
                <w:b/>
                <w:sz w:val="24"/>
                <w:highlight w:val="lightGray"/>
                <w:u w:val="single"/>
                <w:lang w:val="it-IT"/>
              </w:rPr>
              <w:fldChar w:fldCharType="separate"/>
            </w:r>
            <w:bookmarkStart w:id="3" w:name="_GoBack"/>
            <w:r w:rsidRPr="006627B8">
              <w:rPr>
                <w:b/>
                <w:noProof/>
                <w:sz w:val="24"/>
                <w:highlight w:val="lightGray"/>
                <w:u w:val="single"/>
                <w:lang w:val="it-IT"/>
              </w:rPr>
              <w:t> </w:t>
            </w:r>
            <w:r w:rsidRPr="006627B8">
              <w:rPr>
                <w:b/>
                <w:noProof/>
                <w:sz w:val="24"/>
                <w:highlight w:val="lightGray"/>
                <w:u w:val="single"/>
                <w:lang w:val="it-IT"/>
              </w:rPr>
              <w:t> </w:t>
            </w:r>
            <w:r w:rsidRPr="006627B8">
              <w:rPr>
                <w:b/>
                <w:noProof/>
                <w:sz w:val="24"/>
                <w:highlight w:val="lightGray"/>
                <w:u w:val="single"/>
                <w:lang w:val="it-IT"/>
              </w:rPr>
              <w:t> </w:t>
            </w:r>
            <w:r w:rsidRPr="006627B8">
              <w:rPr>
                <w:b/>
                <w:noProof/>
                <w:sz w:val="24"/>
                <w:highlight w:val="lightGray"/>
                <w:u w:val="single"/>
                <w:lang w:val="it-IT"/>
              </w:rPr>
              <w:t> </w:t>
            </w:r>
            <w:r w:rsidRPr="006627B8">
              <w:rPr>
                <w:b/>
                <w:noProof/>
                <w:sz w:val="24"/>
                <w:highlight w:val="lightGray"/>
                <w:u w:val="single"/>
                <w:lang w:val="it-IT"/>
              </w:rPr>
              <w:t> </w:t>
            </w:r>
            <w:bookmarkEnd w:id="3"/>
            <w:r w:rsidRPr="006627B8">
              <w:rPr>
                <w:b/>
                <w:sz w:val="24"/>
                <w:highlight w:val="lightGray"/>
                <w:u w:val="single"/>
                <w:lang w:val="it-IT"/>
              </w:rPr>
              <w:fldChar w:fldCharType="end"/>
            </w:r>
            <w:r w:rsidRPr="006627B8">
              <w:rPr>
                <w:rStyle w:val="FootnoteReference"/>
                <w:b/>
                <w:sz w:val="24"/>
                <w:lang w:val="it-IT"/>
              </w:rPr>
              <w:footnoteReference w:id="1"/>
            </w:r>
            <w:r w:rsidRPr="00D5072F">
              <w:rPr>
                <w:rStyle w:val="Heading1SuperCharChar"/>
                <w:bCs w:val="0"/>
              </w:rPr>
              <w:t xml:space="preserve"> </w:t>
            </w:r>
            <w:r w:rsidRPr="00D5072F">
              <w:rPr>
                <w:b/>
                <w:sz w:val="24"/>
              </w:rPr>
              <w:t>Edition</w:t>
            </w:r>
            <w:r w:rsidRPr="006627B8">
              <w:rPr>
                <w:b/>
                <w:sz w:val="24"/>
                <w:szCs w:val="24"/>
              </w:rPr>
              <w:t xml:space="preserve"> </w:t>
            </w:r>
          </w:p>
        </w:tc>
      </w:tr>
      <w:tr w:rsidR="00B95BBE" w:rsidRPr="006627B8" w:rsidTr="00D13B13">
        <w:tblPrEx>
          <w:tblCellMar>
            <w:left w:w="115" w:type="dxa"/>
            <w:right w:w="115" w:type="dxa"/>
          </w:tblCellMar>
        </w:tblPrEx>
        <w:tc>
          <w:tcPr>
            <w:tcW w:w="10368" w:type="dxa"/>
          </w:tcPr>
          <w:p w:rsidR="00B95BBE" w:rsidRPr="006627B8" w:rsidRDefault="00B95BBE" w:rsidP="00D13B13">
            <w:pPr>
              <w:spacing w:after="120"/>
              <w:rPr>
                <w:b/>
                <w:sz w:val="24"/>
                <w:szCs w:val="24"/>
              </w:rPr>
            </w:pPr>
          </w:p>
          <w:p w:rsidR="00B95BBE" w:rsidRPr="006627B8" w:rsidRDefault="00B95BBE" w:rsidP="00D13B13">
            <w:pPr>
              <w:spacing w:after="120"/>
              <w:rPr>
                <w:b/>
                <w:sz w:val="24"/>
                <w:szCs w:val="24"/>
              </w:rPr>
            </w:pPr>
            <w:r w:rsidRPr="006627B8">
              <w:rPr>
                <w:b/>
                <w:sz w:val="24"/>
                <w:szCs w:val="24"/>
                <w:lang w:val="it-IT"/>
              </w:rPr>
              <w:t>Licenze:</w:t>
            </w:r>
            <w:r w:rsidRPr="006627B8">
              <w:rPr>
                <w:b/>
                <w:sz w:val="24"/>
                <w:szCs w:val="24"/>
              </w:rPr>
              <w:t xml:space="preserve"> </w:t>
            </w:r>
            <w:bookmarkStart w:id="4" w:name="Text33"/>
            <w:r w:rsidRPr="006627B8">
              <w:rPr>
                <w:b/>
                <w:sz w:val="24"/>
                <w:szCs w:val="24"/>
              </w:rPr>
              <w:fldChar w:fldCharType="begin">
                <w:ffData>
                  <w:name w:val="Text33"/>
                  <w:enabled/>
                  <w:calcOnExit w:val="0"/>
                  <w:textInput/>
                </w:ffData>
              </w:fldChar>
            </w:r>
            <w:r w:rsidRPr="006627B8">
              <w:rPr>
                <w:b/>
                <w:sz w:val="24"/>
                <w:szCs w:val="24"/>
              </w:rPr>
              <w:instrText xml:space="preserve"> FORMTEXT </w:instrText>
            </w:r>
            <w:r w:rsidRPr="006627B8">
              <w:rPr>
                <w:b/>
                <w:sz w:val="24"/>
                <w:szCs w:val="24"/>
              </w:rPr>
            </w:r>
            <w:r w:rsidRPr="006627B8">
              <w:rPr>
                <w:b/>
                <w:sz w:val="24"/>
                <w:szCs w:val="24"/>
              </w:rPr>
              <w:fldChar w:fldCharType="separate"/>
            </w:r>
            <w:r w:rsidRPr="006627B8">
              <w:rPr>
                <w:b/>
                <w:noProof/>
                <w:sz w:val="24"/>
                <w:szCs w:val="24"/>
              </w:rPr>
              <w:t> </w:t>
            </w:r>
            <w:r w:rsidRPr="006627B8">
              <w:rPr>
                <w:b/>
                <w:noProof/>
                <w:sz w:val="24"/>
                <w:szCs w:val="24"/>
              </w:rPr>
              <w:t> </w:t>
            </w:r>
            <w:r w:rsidRPr="006627B8">
              <w:rPr>
                <w:b/>
                <w:noProof/>
                <w:sz w:val="24"/>
                <w:szCs w:val="24"/>
              </w:rPr>
              <w:t> </w:t>
            </w:r>
            <w:r w:rsidRPr="006627B8">
              <w:rPr>
                <w:b/>
                <w:noProof/>
                <w:sz w:val="24"/>
                <w:szCs w:val="24"/>
              </w:rPr>
              <w:t> </w:t>
            </w:r>
            <w:r w:rsidRPr="006627B8">
              <w:rPr>
                <w:b/>
                <w:noProof/>
                <w:sz w:val="24"/>
                <w:szCs w:val="24"/>
              </w:rPr>
              <w:t> </w:t>
            </w:r>
            <w:r w:rsidRPr="006627B8">
              <w:rPr>
                <w:b/>
                <w:sz w:val="24"/>
                <w:szCs w:val="24"/>
              </w:rPr>
              <w:fldChar w:fldCharType="end"/>
            </w:r>
            <w:bookmarkEnd w:id="4"/>
            <w:r w:rsidRPr="006627B8">
              <w:rPr>
                <w:rStyle w:val="FootnoteReference"/>
                <w:b/>
                <w:sz w:val="24"/>
                <w:szCs w:val="24"/>
              </w:rPr>
              <w:footnoteReference w:id="2"/>
            </w:r>
            <w:r w:rsidRPr="006627B8">
              <w:rPr>
                <w:b/>
                <w:sz w:val="24"/>
                <w:szCs w:val="24"/>
              </w:rPr>
              <w:t xml:space="preserve"> </w:t>
            </w:r>
          </w:p>
        </w:tc>
      </w:tr>
      <w:tr w:rsidR="00B95BBE" w:rsidRPr="006627B8" w:rsidTr="00D13B13">
        <w:tc>
          <w:tcPr>
            <w:tcW w:w="10368" w:type="dxa"/>
          </w:tcPr>
          <w:p w:rsidR="00B95BBE" w:rsidRPr="006627B8" w:rsidRDefault="00B95BBE" w:rsidP="00D13B13">
            <w:pPr>
              <w:spacing w:after="120"/>
              <w:rPr>
                <w:b/>
                <w:sz w:val="24"/>
                <w:szCs w:val="24"/>
              </w:rPr>
            </w:pPr>
          </w:p>
        </w:tc>
      </w:tr>
      <w:tr w:rsidR="00B95BBE" w:rsidRPr="00F41492" w:rsidTr="00D13B13">
        <w:tblPrEx>
          <w:tblCellMar>
            <w:left w:w="115" w:type="dxa"/>
            <w:right w:w="115" w:type="dxa"/>
          </w:tblCellMar>
        </w:tblPrEx>
        <w:tc>
          <w:tcPr>
            <w:tcW w:w="10368" w:type="dxa"/>
            <w:shd w:val="clear" w:color="auto" w:fill="000080"/>
            <w:vAlign w:val="center"/>
          </w:tcPr>
          <w:p w:rsidR="00B95BBE" w:rsidRPr="00D5072F" w:rsidRDefault="00B95BBE" w:rsidP="00D13B13">
            <w:pPr>
              <w:spacing w:after="120"/>
              <w:rPr>
                <w:b/>
                <w:lang w:val="it-IT"/>
              </w:rPr>
            </w:pPr>
            <w:r w:rsidRPr="006627B8">
              <w:rPr>
                <w:b/>
                <w:lang w:val="it-IT"/>
              </w:rPr>
              <w:t>CONTRATTO DI LICENZA CON L’UTENTE FINALE</w:t>
            </w:r>
          </w:p>
        </w:tc>
      </w:tr>
    </w:tbl>
    <w:p w:rsidR="00B95BBE" w:rsidRPr="006627B8" w:rsidRDefault="00B95BBE" w:rsidP="00B95BBE">
      <w:pPr>
        <w:spacing w:after="120"/>
      </w:pPr>
      <w:r w:rsidRPr="006627B8">
        <w:rPr>
          <w:sz w:val="20"/>
          <w:szCs w:val="20"/>
          <w:lang w:val="it-IT"/>
        </w:rPr>
        <w:t>Le presenti condizioni di licenza costituiscono il contratto tra il licenziante dell’applicazione software o della famiglia di applicazioni presso cui il licenziatario ha acquistato il software Microsoft (“Licenziante”)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B95BBE" w:rsidRPr="006627B8" w:rsidRDefault="00B95BBE" w:rsidP="00B95BBE">
      <w:pPr>
        <w:pStyle w:val="Bullet2"/>
        <w:tabs>
          <w:tab w:val="clear" w:pos="720"/>
          <w:tab w:val="num" w:pos="360"/>
        </w:tabs>
        <w:spacing w:after="120"/>
        <w:ind w:left="360"/>
      </w:pPr>
      <w:r w:rsidRPr="006627B8">
        <w:rPr>
          <w:sz w:val="20"/>
          <w:lang w:val="it-IT"/>
        </w:rPr>
        <w:t>aggiornamenti,</w:t>
      </w:r>
    </w:p>
    <w:p w:rsidR="00B95BBE" w:rsidRPr="006627B8" w:rsidRDefault="00B95BBE" w:rsidP="00B95BBE">
      <w:pPr>
        <w:pStyle w:val="Bullet2"/>
        <w:tabs>
          <w:tab w:val="clear" w:pos="720"/>
          <w:tab w:val="num" w:pos="360"/>
        </w:tabs>
        <w:spacing w:after="120"/>
        <w:ind w:left="360"/>
      </w:pPr>
      <w:r w:rsidRPr="006627B8">
        <w:rPr>
          <w:sz w:val="20"/>
          <w:lang w:val="it-IT"/>
        </w:rPr>
        <w:t>supplementi e</w:t>
      </w:r>
    </w:p>
    <w:p w:rsidR="00B95BBE" w:rsidRPr="006627B8" w:rsidRDefault="00B95BBE" w:rsidP="00B95BBE">
      <w:pPr>
        <w:pStyle w:val="Bullet2"/>
        <w:tabs>
          <w:tab w:val="clear" w:pos="720"/>
          <w:tab w:val="num" w:pos="360"/>
        </w:tabs>
        <w:spacing w:after="120"/>
        <w:ind w:left="360"/>
      </w:pPr>
      <w:r w:rsidRPr="006627B8">
        <w:rPr>
          <w:sz w:val="20"/>
          <w:lang w:val="it-IT"/>
        </w:rPr>
        <w:t>servizi basati su Internet</w:t>
      </w:r>
    </w:p>
    <w:p w:rsidR="00B95BBE" w:rsidRPr="00D5072F" w:rsidRDefault="00B95BBE" w:rsidP="00B95BBE">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 tal caso, queste ultime condizioni prevalgono su quelle del presente contratto.</w:t>
      </w:r>
      <w:r w:rsidRPr="00D5072F">
        <w:rPr>
          <w:lang w:val="it-IT"/>
        </w:rPr>
        <w:t xml:space="preserve"> </w:t>
      </w:r>
      <w:r w:rsidRPr="006627B8">
        <w:rPr>
          <w:sz w:val="20"/>
          <w:lang w:val="it-IT"/>
        </w:rPr>
        <w:t>Microsoft Corporation o una delle sue consociate (collettivamente “Microsoft”) ha concesso in licenza il software al Licenziante.</w:t>
      </w:r>
    </w:p>
    <w:p w:rsidR="00B95BBE" w:rsidRPr="00D5072F" w:rsidRDefault="00B95BBE" w:rsidP="00B95BBE">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 il rimborso del prezzo.</w:t>
      </w:r>
    </w:p>
    <w:p w:rsidR="00B95BBE" w:rsidRPr="00D5072F" w:rsidRDefault="00B95BBE" w:rsidP="00B95BBE">
      <w:pPr>
        <w:spacing w:after="120"/>
        <w:rPr>
          <w:lang w:val="it-IT"/>
        </w:rPr>
      </w:pPr>
      <w:r w:rsidRPr="006627B8">
        <w:rPr>
          <w:b/>
          <w:sz w:val="20"/>
          <w:lang w:val="it-IT"/>
        </w:rPr>
        <w:t>Come descritto di seguito, l’utilizzo del software funge anche da consenso alla trasmissione di determinate informazioni standard relative al computer per i servizi basati su Internet.</w:t>
      </w:r>
    </w:p>
    <w:p w:rsidR="00B95BBE" w:rsidRPr="00D5072F" w:rsidRDefault="00B95BBE" w:rsidP="00B95BBE">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 condizioni, prevarranno le presenti condizioni.</w:t>
      </w:r>
    </w:p>
    <w:p w:rsidR="00B95BBE" w:rsidRPr="00D5072F" w:rsidRDefault="00B95BBE" w:rsidP="00B95BBE">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B95BBE" w:rsidRPr="006627B8" w:rsidRDefault="00B95BBE" w:rsidP="00B95BBE">
      <w:pPr>
        <w:pStyle w:val="Heading1"/>
        <w:spacing w:after="120"/>
        <w:rPr>
          <w:rFonts w:cs="Tahoma"/>
          <w:b/>
        </w:rPr>
      </w:pPr>
      <w:r w:rsidRPr="006627B8">
        <w:rPr>
          <w:rFonts w:cs="Tahoma"/>
          <w:b/>
          <w:sz w:val="20"/>
          <w:lang w:val="it-IT"/>
        </w:rPr>
        <w:t>PREMESSE.</w:t>
      </w:r>
    </w:p>
    <w:p w:rsidR="00B95BBE" w:rsidRPr="006627B8" w:rsidRDefault="00B95BBE" w:rsidP="00B95BBE">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B95BBE" w:rsidRPr="006627B8" w:rsidRDefault="00B95BBE" w:rsidP="00B95BBE">
      <w:pPr>
        <w:pStyle w:val="Bullet3"/>
        <w:spacing w:after="120"/>
        <w:rPr>
          <w:rFonts w:cs="Tahoma"/>
          <w:b w:val="0"/>
        </w:rPr>
      </w:pPr>
      <w:r w:rsidRPr="006627B8">
        <w:rPr>
          <w:rFonts w:cs="Tahoma"/>
          <w:b w:val="0"/>
          <w:sz w:val="20"/>
          <w:lang w:val="it-IT"/>
        </w:rPr>
        <w:t>software server e</w:t>
      </w:r>
    </w:p>
    <w:p w:rsidR="00B95BBE" w:rsidRPr="006627B8" w:rsidRDefault="00B95BBE" w:rsidP="00B95BBE">
      <w:pPr>
        <w:pStyle w:val="Bullet3"/>
        <w:spacing w:after="120"/>
        <w:rPr>
          <w:rFonts w:cs="Tahoma"/>
          <w:b w:val="0"/>
        </w:rPr>
      </w:pPr>
      <w:r w:rsidRPr="006627B8">
        <w:rPr>
          <w:rFonts w:cs="Tahoma"/>
          <w:b w:val="0"/>
          <w:sz w:val="20"/>
          <w:lang w:val="it-IT"/>
        </w:rPr>
        <w:t>software aggiuntivo che potrà essere utilizzato esclusivamente con il software server direttamente o indirettamente tramite altro software aggiuntivo.</w:t>
      </w:r>
    </w:p>
    <w:p w:rsidR="00B95BBE" w:rsidRPr="00D5072F" w:rsidRDefault="00B95BBE" w:rsidP="00B95BBE">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B95BBE" w:rsidRPr="006627B8" w:rsidRDefault="00B95BBE" w:rsidP="00B95BBE">
      <w:pPr>
        <w:pStyle w:val="Bullet3"/>
        <w:spacing w:after="120"/>
        <w:rPr>
          <w:rFonts w:cs="Tahoma"/>
          <w:b w:val="0"/>
        </w:rPr>
      </w:pPr>
      <w:r w:rsidRPr="006627B8">
        <w:rPr>
          <w:rFonts w:cs="Tahoma"/>
          <w:b w:val="0"/>
          <w:sz w:val="20"/>
          <w:lang w:val="it-IT"/>
        </w:rPr>
        <w:t>Modello di Licenza Core: il numero di core fisici e/o virtuali nel server.</w:t>
      </w:r>
    </w:p>
    <w:p w:rsidR="00B95BBE" w:rsidRPr="006627B8" w:rsidRDefault="00B95BBE" w:rsidP="00B95BBE">
      <w:pPr>
        <w:pStyle w:val="Heading2"/>
        <w:spacing w:after="120"/>
        <w:rPr>
          <w:rFonts w:cs="Tahoma"/>
          <w:b/>
        </w:rPr>
      </w:pPr>
      <w:r w:rsidRPr="006627B8">
        <w:rPr>
          <w:rFonts w:cs="Tahoma"/>
          <w:b/>
          <w:sz w:val="20"/>
          <w:lang w:val="it-IT"/>
        </w:rPr>
        <w:t>Terminologia della Licenza.</w:t>
      </w:r>
    </w:p>
    <w:p w:rsidR="00B95BBE" w:rsidRPr="006627B8" w:rsidRDefault="00B95BBE" w:rsidP="00B95BBE">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un’“istanza” di software eseguendo la procedura di configurazione o installazione del software.</w:t>
      </w:r>
      <w:r w:rsidRPr="006627B8">
        <w:rPr>
          <w:rFonts w:cs="Tahoma"/>
          <w:b w:val="0"/>
          <w:sz w:val="20"/>
        </w:rPr>
        <w:t xml:space="preserve"> </w:t>
      </w:r>
      <w:r w:rsidRPr="006627B8">
        <w:rPr>
          <w:rFonts w:cs="Tahoma"/>
          <w:b w:val="0"/>
          <w:sz w:val="20"/>
          <w:lang w:val="it-IT"/>
        </w:rPr>
        <w:t>Il licenziatario crea anche un’istanza di software duplicando un’istanza esistente.</w:t>
      </w:r>
      <w:r w:rsidRPr="006627B8">
        <w:rPr>
          <w:rFonts w:cs="Tahoma"/>
          <w:b w:val="0"/>
        </w:rPr>
        <w:t xml:space="preserve"> </w:t>
      </w:r>
      <w:r w:rsidRPr="006627B8">
        <w:rPr>
          <w:rFonts w:cs="Tahoma"/>
          <w:b w:val="0"/>
          <w:sz w:val="20"/>
          <w:lang w:val="it-IT"/>
        </w:rPr>
        <w:t>I riferimenti al software nel presente contratto includono “istanze” del software.</w:t>
      </w:r>
    </w:p>
    <w:p w:rsidR="00B95BBE" w:rsidRPr="006627B8" w:rsidRDefault="00B95BBE" w:rsidP="00B95BBE">
      <w:pPr>
        <w:pStyle w:val="Bullet3"/>
        <w:spacing w:after="120"/>
        <w:rPr>
          <w:rFonts w:cs="Tahoma"/>
          <w:b w:val="0"/>
          <w:bCs/>
        </w:rPr>
      </w:pPr>
      <w:r w:rsidRPr="006627B8">
        <w:rPr>
          <w:rFonts w:cs="Tahoma"/>
          <w:sz w:val="20"/>
          <w:lang w:val="it-IT"/>
        </w:rPr>
        <w:lastRenderedPageBreak/>
        <w:t>Esecuzione di un’Istanza.</w:t>
      </w:r>
      <w:r w:rsidRPr="006627B8">
        <w:rPr>
          <w:rFonts w:cs="Tahoma"/>
          <w:b w:val="0"/>
          <w:sz w:val="20"/>
        </w:rPr>
        <w:t xml:space="preserve"> </w:t>
      </w:r>
      <w:r w:rsidRPr="006627B8">
        <w:rPr>
          <w:rFonts w:cs="Tahoma"/>
          <w:b w:val="0"/>
          <w:sz w:val="20"/>
          <w:lang w:val="it-IT"/>
        </w:rPr>
        <w:t>Il licenziatario “esegue un’istanza”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un’istanza viene considerata tale (anche se le relative istruzioni non sono più eseguite) fino a quando non viene rimossa dalla memoria.</w:t>
      </w:r>
    </w:p>
    <w:p w:rsidR="00B95BBE" w:rsidRPr="006627B8" w:rsidRDefault="00B95BBE" w:rsidP="00B95BBE">
      <w:pPr>
        <w:pStyle w:val="Bullet3"/>
        <w:spacing w:after="120"/>
        <w:rPr>
          <w:rFonts w:cs="Tahoma"/>
          <w:b w:val="0"/>
        </w:rPr>
      </w:pPr>
      <w:r w:rsidRPr="006627B8">
        <w:rPr>
          <w:rFonts w:cs="Tahoma"/>
          <w:sz w:val="20"/>
          <w:lang w:val="it-IT"/>
        </w:rPr>
        <w:t>Ambiente del Sistema Operativo (“OSE”).</w:t>
      </w:r>
      <w:r w:rsidRPr="006627B8">
        <w:rPr>
          <w:rFonts w:cs="Tahoma"/>
          <w:b w:val="0"/>
        </w:rPr>
        <w:t xml:space="preserve"> </w:t>
      </w:r>
      <w:r w:rsidRPr="006627B8">
        <w:rPr>
          <w:rFonts w:cs="Tahoma"/>
          <w:b w:val="0"/>
          <w:sz w:val="20"/>
          <w:lang w:val="it-IT"/>
        </w:rPr>
        <w:t>Un “ambiente del sistema operativo” o OSE è costituito da:</w:t>
      </w:r>
    </w:p>
    <w:p w:rsidR="00B95BBE" w:rsidRPr="006627B8" w:rsidRDefault="00B95BBE" w:rsidP="00B95BBE">
      <w:pPr>
        <w:pStyle w:val="Bullet3"/>
        <w:numPr>
          <w:ilvl w:val="1"/>
          <w:numId w:val="2"/>
        </w:numPr>
        <w:spacing w:after="120"/>
        <w:rPr>
          <w:rFonts w:cs="Tahoma"/>
          <w:b w:val="0"/>
        </w:rPr>
      </w:pPr>
      <w:r w:rsidRPr="006627B8">
        <w:rPr>
          <w:rFonts w:cs="Tahoma"/>
          <w:b w:val="0"/>
          <w:sz w:val="20"/>
          <w:lang w:val="it-IT"/>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B95BBE" w:rsidRPr="006627B8" w:rsidRDefault="00B95BBE" w:rsidP="00B95BBE">
      <w:pPr>
        <w:pStyle w:val="Bullet3"/>
        <w:numPr>
          <w:ilvl w:val="1"/>
          <w:numId w:val="2"/>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B95BBE" w:rsidRPr="006627B8" w:rsidRDefault="00B95BBE" w:rsidP="00B95BBE">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 essere eseguito su un sistema hardware virtuale o in altro modo emulato.</w:t>
      </w:r>
      <w:r w:rsidRPr="006627B8">
        <w:rPr>
          <w:rFonts w:cs="Tahoma"/>
          <w:b w:val="0"/>
        </w:rPr>
        <w:t xml:space="preserve"> </w:t>
      </w:r>
      <w:r w:rsidRPr="006627B8">
        <w:rPr>
          <w:rFonts w:cs="Tahoma"/>
          <w:b w:val="0"/>
          <w:sz w:val="20"/>
          <w:lang w:val="it-IT"/>
        </w:rPr>
        <w:t>Un sistema hardware fisico può avere uno o entrambi i seguenti elementi:</w:t>
      </w:r>
    </w:p>
    <w:p w:rsidR="00B95BBE" w:rsidRPr="006627B8" w:rsidRDefault="00B95BBE" w:rsidP="00B95BBE">
      <w:pPr>
        <w:pStyle w:val="Bullet3"/>
        <w:numPr>
          <w:ilvl w:val="1"/>
          <w:numId w:val="2"/>
        </w:numPr>
        <w:spacing w:after="120"/>
        <w:rPr>
          <w:rFonts w:cs="Tahoma"/>
          <w:b w:val="0"/>
        </w:rPr>
      </w:pPr>
      <w:r w:rsidRPr="006627B8">
        <w:rPr>
          <w:rFonts w:cs="Tahoma"/>
          <w:b w:val="0"/>
          <w:sz w:val="20"/>
          <w:lang w:val="it-IT"/>
        </w:rPr>
        <w:t>un ambiente fisico del sistema operativo</w:t>
      </w:r>
    </w:p>
    <w:p w:rsidR="00B95BBE" w:rsidRPr="006627B8" w:rsidRDefault="00B95BBE" w:rsidP="00B95BBE">
      <w:pPr>
        <w:pStyle w:val="Bullet3"/>
        <w:numPr>
          <w:ilvl w:val="1"/>
          <w:numId w:val="2"/>
        </w:numPr>
        <w:spacing w:after="120"/>
        <w:rPr>
          <w:rFonts w:cs="Tahoma"/>
          <w:b w:val="0"/>
        </w:rPr>
      </w:pPr>
      <w:r w:rsidRPr="006627B8">
        <w:rPr>
          <w:rFonts w:cs="Tahoma"/>
          <w:b w:val="0"/>
          <w:sz w:val="20"/>
          <w:lang w:val="it-IT"/>
        </w:rPr>
        <w:t>uno o più ambienti virtuali del sistema operativo.</w:t>
      </w:r>
    </w:p>
    <w:p w:rsidR="00B95BBE" w:rsidRPr="006627B8" w:rsidRDefault="00B95BBE" w:rsidP="00B95BBE">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B95BBE" w:rsidRPr="006627B8" w:rsidRDefault="00B95BBE" w:rsidP="00B95BBE">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B95BBE" w:rsidRPr="006627B8" w:rsidRDefault="00B95BBE" w:rsidP="00B95BBE">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B95BBE" w:rsidRPr="006627B8" w:rsidRDefault="00B95BBE" w:rsidP="00B95BBE">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B95BBE" w:rsidRPr="006627B8" w:rsidRDefault="00B95BBE" w:rsidP="00B95BBE">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Pr="006627B8">
        <w:rPr>
          <w:rFonts w:cs="Tahoma"/>
          <w:b w:val="0"/>
          <w:sz w:val="20"/>
          <w:lang w:val="it-IT"/>
        </w:rPr>
        <w:t>La cessione di una licenza consiste nell’attribuire tale licenza a un server, dispositivo o utente nella modalità indicata di seguito.</w:t>
      </w:r>
    </w:p>
    <w:p w:rsidR="00B95BBE" w:rsidRPr="006627B8" w:rsidRDefault="00B95BBE" w:rsidP="00B95BBE">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B95BBE" w:rsidRPr="006627B8" w:rsidRDefault="00B95BBE" w:rsidP="00B95BBE">
      <w:pPr>
        <w:pStyle w:val="Heading1"/>
        <w:spacing w:after="120"/>
        <w:rPr>
          <w:rFonts w:cs="Tahoma"/>
          <w:b/>
        </w:rPr>
      </w:pPr>
      <w:r w:rsidRPr="006627B8">
        <w:rPr>
          <w:rFonts w:cs="Tahoma"/>
          <w:b/>
          <w:sz w:val="20"/>
          <w:lang w:val="it-IT"/>
        </w:rPr>
        <w:t>DIRITTI DI UTILIZZO.</w:t>
      </w:r>
    </w:p>
    <w:p w:rsidR="00B95BBE" w:rsidRPr="00263914" w:rsidRDefault="00B95BBE" w:rsidP="00B95BBE">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B95BBE" w:rsidRPr="00263914" w:rsidRDefault="00B95BBE" w:rsidP="00B95BBE">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B95BBE" w:rsidRPr="00263914" w:rsidRDefault="00B95BBE" w:rsidP="00B95BBE">
      <w:pPr>
        <w:pStyle w:val="Heading3Bold"/>
        <w:numPr>
          <w:ilvl w:val="2"/>
          <w:numId w:val="9"/>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Pr="006627B8">
        <w:rPr>
          <w:rFonts w:cs="Tahoma"/>
          <w:b w:val="0"/>
          <w:sz w:val="20"/>
          <w:lang w:val="it-IT"/>
        </w:rPr>
        <w:t>Qualora il licenziatario scelga questa opzione, il numero di licenze necessarie equivarrà al numero di core fisici del server, moltiplicato per il fattore core applicabile indicato all’indirizzo go.microsoft.com/fwlink/?LinkID=229882.</w:t>
      </w:r>
    </w:p>
    <w:p w:rsidR="00B95BBE" w:rsidRPr="00263914" w:rsidRDefault="00B95BBE" w:rsidP="00B95BBE">
      <w:pPr>
        <w:pStyle w:val="Heading3Bold"/>
        <w:numPr>
          <w:ilvl w:val="2"/>
          <w:numId w:val="9"/>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 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Pr>
          <w:rFonts w:cs="Tahoma"/>
          <w:b w:val="0"/>
          <w:sz w:val="20"/>
          <w:lang w:val="it-IT"/>
        </w:rPr>
        <w:t> </w:t>
      </w:r>
      <w:r w:rsidRPr="006627B8">
        <w:rPr>
          <w:rFonts w:cs="Tahoma"/>
          <w:b w:val="0"/>
          <w:sz w:val="20"/>
          <w:lang w:val="it-IT"/>
        </w:rPr>
        <w:t>licenze rientrano nel calcolo del requisito minimo di quattro licenze per OSE virtuale.</w:t>
      </w:r>
    </w:p>
    <w:p w:rsidR="00B95BBE" w:rsidRPr="00263914" w:rsidRDefault="00B95BBE" w:rsidP="00B95BBE">
      <w:pPr>
        <w:pStyle w:val="Heading2"/>
        <w:spacing w:after="120"/>
        <w:rPr>
          <w:rFonts w:cs="Tahoma"/>
          <w:b/>
          <w:lang w:val="it-IT"/>
        </w:rPr>
      </w:pPr>
      <w:r w:rsidRPr="006627B8">
        <w:rPr>
          <w:rFonts w:cs="Tahoma"/>
          <w:b/>
          <w:sz w:val="20"/>
          <w:lang w:val="it-IT"/>
        </w:rPr>
        <w:t>Assegnazione del Numero di Licenze Necessarie al Server.</w:t>
      </w:r>
    </w:p>
    <w:p w:rsidR="00B95BBE" w:rsidRPr="00263914" w:rsidRDefault="00B95BBE" w:rsidP="00B95BBE">
      <w:pPr>
        <w:pStyle w:val="Heading3Bold"/>
        <w:numPr>
          <w:ilvl w:val="2"/>
          <w:numId w:val="10"/>
        </w:numPr>
        <w:spacing w:after="120"/>
        <w:rPr>
          <w:rFonts w:cs="Tahoma"/>
          <w:b w:val="0"/>
          <w:lang w:val="it-IT"/>
        </w:rPr>
      </w:pPr>
      <w:r w:rsidRPr="006627B8">
        <w:rPr>
          <w:rFonts w:cs="Tahoma"/>
          <w:sz w:val="20"/>
          <w:lang w:val="it-IT"/>
        </w:rPr>
        <w:lastRenderedPageBreak/>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Pr="006627B8">
        <w:rPr>
          <w:rFonts w:cs="Tahoma"/>
          <w:b w:val="0"/>
          <w:sz w:val="20"/>
          <w:lang w:val="it-IT"/>
        </w:rPr>
        <w:t>Il server a cui viene ceduta una licenza è considerato il “server con licenza”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B95BBE" w:rsidRPr="00263914" w:rsidRDefault="00B95BBE" w:rsidP="00B95BBE">
      <w:pPr>
        <w:pStyle w:val="Heading3Bold"/>
        <w:numPr>
          <w:ilvl w:val="2"/>
          <w:numId w:val="10"/>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dall’ultima cessione.</w:t>
      </w:r>
      <w:r w:rsidRPr="00263914">
        <w:rPr>
          <w:rFonts w:cs="Tahoma"/>
          <w:b w:val="0"/>
          <w:lang w:val="it-IT"/>
        </w:rPr>
        <w:t xml:space="preserve"> </w:t>
      </w:r>
      <w:r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B95BBE" w:rsidRPr="00263914" w:rsidRDefault="00B95BBE" w:rsidP="00B95BBE">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Pr="006627B8">
        <w:rPr>
          <w:rFonts w:cs="Tahoma"/>
          <w:sz w:val="20"/>
          <w:lang w:val="it-IT"/>
        </w:rPr>
        <w:t>Il diritto del licenziatario di eseguire istanze del software server dipende dall’opzione scelta per determinare il numero di licenze software necessarie.</w:t>
      </w:r>
    </w:p>
    <w:p w:rsidR="00B95BBE" w:rsidRPr="00263914" w:rsidRDefault="00B95BBE" w:rsidP="00B95BBE">
      <w:pPr>
        <w:pStyle w:val="Heading3Bold"/>
        <w:numPr>
          <w:ilvl w:val="2"/>
          <w:numId w:val="11"/>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Per ogni server a cui ha ceduto il numero necessario di licenze in base a quanto disposto nell’Articolo 2(b)(i), il licenziatario potrà eseguire un numero qualsiasi di istanze del software server nell’OSE fisico.</w:t>
      </w:r>
    </w:p>
    <w:p w:rsidR="00B95BBE" w:rsidRPr="00263914" w:rsidRDefault="00B95BBE" w:rsidP="00B95BBE">
      <w:pPr>
        <w:pStyle w:val="Heading3Bold"/>
        <w:numPr>
          <w:ilvl w:val="2"/>
          <w:numId w:val="11"/>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Pr="006627B8">
        <w:rPr>
          <w:rFonts w:cs="Tahoma"/>
          <w:b w:val="0"/>
          <w:sz w:val="20"/>
          <w:lang w:val="it-IT"/>
        </w:rPr>
        <w:t>Per ogni OSE virtuale a cui ha ceduto il numero necessario di licenze in base a quanto disposto nell’Articolo 2(b)(ii), il licenziatario avrà il diritto di eseguire un numero qualsiasi di istanze del software server in tale OSE virtuale.</w:t>
      </w:r>
    </w:p>
    <w:p w:rsidR="00B95BBE" w:rsidRPr="00263914" w:rsidRDefault="00B95BBE" w:rsidP="00B95BBE">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 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B95BBE" w:rsidRPr="006627B8" w:rsidRDefault="00B95BBE" w:rsidP="00B95BBE">
      <w:pPr>
        <w:pStyle w:val="Bullet3"/>
        <w:spacing w:after="120"/>
        <w:rPr>
          <w:rFonts w:cs="Tahoma"/>
          <w:b w:val="0"/>
        </w:rPr>
      </w:pPr>
      <w:bookmarkStart w:id="5" w:name="OTHER"/>
      <w:r w:rsidRPr="006627B8">
        <w:rPr>
          <w:rFonts w:cs="Tahoma"/>
          <w:b w:val="0"/>
          <w:sz w:val="20"/>
          <w:lang w:val="it-IT"/>
        </w:rPr>
        <w:t>Administration and Monitoring Tools</w:t>
      </w:r>
    </w:p>
    <w:p w:rsidR="00B95BBE" w:rsidRPr="006627B8" w:rsidRDefault="00B95BBE" w:rsidP="00B95BBE">
      <w:pPr>
        <w:pStyle w:val="Bullet3"/>
        <w:spacing w:after="120"/>
        <w:rPr>
          <w:rFonts w:cs="Tahoma"/>
          <w:b w:val="0"/>
        </w:rPr>
      </w:pPr>
      <w:r w:rsidRPr="006627B8">
        <w:rPr>
          <w:rFonts w:cs="Tahoma"/>
          <w:b w:val="0"/>
          <w:sz w:val="20"/>
          <w:lang w:val="it-IT"/>
        </w:rPr>
        <w:t>Development Tools</w:t>
      </w:r>
    </w:p>
    <w:p w:rsidR="00B95BBE" w:rsidRPr="006627B8" w:rsidRDefault="00B95BBE" w:rsidP="00B95BBE">
      <w:pPr>
        <w:pStyle w:val="Bullet3"/>
        <w:spacing w:after="120"/>
        <w:rPr>
          <w:rFonts w:cs="Tahoma"/>
          <w:b w:val="0"/>
        </w:rPr>
      </w:pPr>
      <w:r w:rsidRPr="006627B8">
        <w:rPr>
          <w:rFonts w:cs="Tahoma"/>
          <w:b w:val="0"/>
          <w:sz w:val="20"/>
          <w:lang w:val="it-IT"/>
        </w:rPr>
        <w:t>Software Development Kit(s)</w:t>
      </w:r>
    </w:p>
    <w:p w:rsidR="00B95BBE" w:rsidRPr="006627B8" w:rsidRDefault="00B95BBE" w:rsidP="00B95BBE">
      <w:pPr>
        <w:pStyle w:val="Bullet3"/>
        <w:spacing w:after="120"/>
        <w:rPr>
          <w:rFonts w:cs="Tahoma"/>
          <w:b w:val="0"/>
        </w:rPr>
      </w:pPr>
      <w:r w:rsidRPr="006627B8">
        <w:rPr>
          <w:rFonts w:cs="Tahoma"/>
          <w:b w:val="0"/>
          <w:sz w:val="20"/>
          <w:lang w:val="it-IT"/>
        </w:rPr>
        <w:t>HTTP Receive Adapter</w:t>
      </w:r>
    </w:p>
    <w:p w:rsidR="00B95BBE" w:rsidRPr="006627B8" w:rsidRDefault="00B95BBE" w:rsidP="00B95BBE">
      <w:pPr>
        <w:pStyle w:val="Bullet3"/>
        <w:spacing w:after="120"/>
        <w:rPr>
          <w:rFonts w:cs="Tahoma"/>
          <w:b w:val="0"/>
        </w:rPr>
      </w:pPr>
      <w:r w:rsidRPr="006627B8">
        <w:rPr>
          <w:rFonts w:cs="Tahoma"/>
          <w:b w:val="0"/>
          <w:sz w:val="20"/>
          <w:lang w:val="it-IT"/>
        </w:rPr>
        <w:t>SOAP Receive Adapter</w:t>
      </w:r>
    </w:p>
    <w:p w:rsidR="00B95BBE" w:rsidRPr="006627B8" w:rsidRDefault="00B95BBE" w:rsidP="00B95BBE">
      <w:pPr>
        <w:pStyle w:val="Bullet3"/>
        <w:spacing w:after="120"/>
        <w:rPr>
          <w:rFonts w:cs="Tahoma"/>
          <w:b w:val="0"/>
        </w:rPr>
      </w:pPr>
      <w:r w:rsidRPr="00263914">
        <w:rPr>
          <w:rFonts w:cs="Tahoma"/>
          <w:b w:val="0"/>
          <w:sz w:val="20"/>
          <w:lang w:val="en-US"/>
        </w:rPr>
        <w:t>Windows SharePoint Services Adapter Web Service</w:t>
      </w:r>
    </w:p>
    <w:p w:rsidR="00B95BBE" w:rsidRPr="006627B8" w:rsidRDefault="00B95BBE" w:rsidP="00B95BBE">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B95BBE" w:rsidRPr="006627B8" w:rsidRDefault="00B95BBE" w:rsidP="00B95BBE">
      <w:pPr>
        <w:pStyle w:val="Bullet3"/>
        <w:spacing w:after="120"/>
        <w:rPr>
          <w:rFonts w:cs="Tahoma"/>
          <w:b w:val="0"/>
        </w:rPr>
      </w:pPr>
      <w:r w:rsidRPr="00263914">
        <w:rPr>
          <w:rFonts w:cs="Tahoma"/>
          <w:b w:val="0"/>
          <w:sz w:val="20"/>
          <w:lang w:val="en-US"/>
        </w:rPr>
        <w:t>Business Activity Monitoring (“BAM”) Event APIs and Interceptors &amp; Administration Tools</w:t>
      </w:r>
      <w:r w:rsidRPr="006627B8">
        <w:rPr>
          <w:rFonts w:cs="Tahoma"/>
          <w:b w:val="0"/>
        </w:rPr>
        <w:t xml:space="preserve"> </w:t>
      </w:r>
    </w:p>
    <w:p w:rsidR="00B95BBE" w:rsidRPr="006627B8" w:rsidRDefault="00B95BBE" w:rsidP="00B95BBE">
      <w:pPr>
        <w:pStyle w:val="Bullet3"/>
        <w:spacing w:after="120"/>
        <w:rPr>
          <w:rFonts w:cs="Tahoma"/>
          <w:b w:val="0"/>
        </w:rPr>
      </w:pPr>
      <w:r w:rsidRPr="00263914">
        <w:rPr>
          <w:rFonts w:cs="Tahoma"/>
          <w:b w:val="0"/>
          <w:sz w:val="20"/>
          <w:lang w:val="en-US"/>
        </w:rPr>
        <w:t>BAM Alert Provider for SQL Notification Services</w:t>
      </w:r>
    </w:p>
    <w:p w:rsidR="00B95BBE" w:rsidRPr="006627B8" w:rsidRDefault="00B95BBE" w:rsidP="00B95BBE">
      <w:pPr>
        <w:pStyle w:val="Bullet3"/>
        <w:spacing w:after="120"/>
        <w:rPr>
          <w:rFonts w:cs="Tahoma"/>
          <w:b w:val="0"/>
        </w:rPr>
      </w:pPr>
      <w:r w:rsidRPr="006627B8">
        <w:rPr>
          <w:rFonts w:cs="Tahoma"/>
          <w:b w:val="0"/>
          <w:sz w:val="20"/>
          <w:lang w:val="it-IT"/>
        </w:rPr>
        <w:t>BAM Client</w:t>
      </w:r>
    </w:p>
    <w:p w:rsidR="00B95BBE" w:rsidRPr="006627B8" w:rsidRDefault="00B95BBE" w:rsidP="00B95BBE">
      <w:pPr>
        <w:pStyle w:val="Bullet3"/>
        <w:spacing w:after="120"/>
        <w:rPr>
          <w:rFonts w:cs="Tahoma"/>
          <w:b w:val="0"/>
        </w:rPr>
      </w:pPr>
      <w:r w:rsidRPr="00263914">
        <w:rPr>
          <w:rFonts w:cs="Tahoma"/>
          <w:b w:val="0"/>
          <w:sz w:val="20"/>
          <w:lang w:val="en-US"/>
        </w:rPr>
        <w:t>BizTalk Server Related Schemas and Templates</w:t>
      </w:r>
    </w:p>
    <w:p w:rsidR="00B95BBE" w:rsidRPr="006627B8" w:rsidRDefault="00B95BBE" w:rsidP="00B95BBE">
      <w:pPr>
        <w:pStyle w:val="Bullet3"/>
        <w:spacing w:after="120"/>
        <w:rPr>
          <w:rFonts w:cs="Tahoma"/>
          <w:b w:val="0"/>
        </w:rPr>
      </w:pPr>
      <w:r w:rsidRPr="006627B8">
        <w:rPr>
          <w:rFonts w:cs="Tahoma"/>
          <w:b w:val="0"/>
          <w:sz w:val="20"/>
          <w:lang w:val="it-IT"/>
        </w:rPr>
        <w:t>Business Activity Services</w:t>
      </w:r>
    </w:p>
    <w:p w:rsidR="00B95BBE" w:rsidRPr="006627B8" w:rsidRDefault="00B95BBE" w:rsidP="00B95BBE">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B95BBE" w:rsidRPr="006627B8" w:rsidRDefault="00B95BBE" w:rsidP="00B95BBE">
      <w:pPr>
        <w:pStyle w:val="Bullet3"/>
        <w:spacing w:after="120"/>
        <w:rPr>
          <w:rFonts w:cs="Tahoma"/>
          <w:b w:val="0"/>
        </w:rPr>
      </w:pPr>
      <w:r w:rsidRPr="006627B8">
        <w:rPr>
          <w:rFonts w:cs="Tahoma"/>
          <w:b w:val="0"/>
          <w:sz w:val="20"/>
          <w:lang w:val="it-IT"/>
        </w:rPr>
        <w:t>MQHelper.dll</w:t>
      </w:r>
    </w:p>
    <w:p w:rsidR="00B95BBE" w:rsidRPr="006627B8" w:rsidRDefault="00B95BBE" w:rsidP="00B95BBE">
      <w:pPr>
        <w:pStyle w:val="Bullet3"/>
        <w:spacing w:after="120"/>
        <w:rPr>
          <w:rFonts w:cs="Tahoma"/>
          <w:b w:val="0"/>
        </w:rPr>
      </w:pPr>
      <w:r w:rsidRPr="006627B8">
        <w:rPr>
          <w:rFonts w:cs="Tahoma"/>
          <w:b w:val="0"/>
          <w:sz w:val="20"/>
          <w:lang w:val="it-IT"/>
        </w:rPr>
        <w:t>ADOMD.NET</w:t>
      </w:r>
    </w:p>
    <w:p w:rsidR="00B95BBE" w:rsidRPr="006627B8" w:rsidRDefault="00B95BBE" w:rsidP="00B95BBE">
      <w:pPr>
        <w:pStyle w:val="Bullet3"/>
        <w:spacing w:after="120"/>
        <w:rPr>
          <w:rFonts w:cs="Tahoma"/>
          <w:b w:val="0"/>
        </w:rPr>
      </w:pPr>
      <w:r w:rsidRPr="006627B8">
        <w:rPr>
          <w:rFonts w:cs="Tahoma"/>
          <w:b w:val="0"/>
          <w:sz w:val="20"/>
          <w:lang w:val="it-IT"/>
        </w:rPr>
        <w:t>MSXML</w:t>
      </w:r>
    </w:p>
    <w:p w:rsidR="00B95BBE" w:rsidRPr="006627B8" w:rsidRDefault="00B95BBE" w:rsidP="00B95BBE">
      <w:pPr>
        <w:pStyle w:val="Bullet3"/>
        <w:spacing w:after="120"/>
        <w:rPr>
          <w:rFonts w:cs="Tahoma"/>
          <w:b w:val="0"/>
        </w:rPr>
      </w:pPr>
      <w:r w:rsidRPr="006627B8">
        <w:rPr>
          <w:rFonts w:cs="Tahoma"/>
          <w:b w:val="0"/>
          <w:sz w:val="20"/>
          <w:lang w:val="it-IT"/>
        </w:rPr>
        <w:t>SQLXML</w:t>
      </w:r>
    </w:p>
    <w:p w:rsidR="00B95BBE" w:rsidRPr="006627B8" w:rsidRDefault="00B95BBE" w:rsidP="00B95BBE">
      <w:pPr>
        <w:pStyle w:val="Bullet3"/>
        <w:spacing w:after="120"/>
        <w:rPr>
          <w:rFonts w:cs="Tahoma"/>
          <w:b w:val="0"/>
        </w:rPr>
      </w:pPr>
      <w:r w:rsidRPr="006627B8">
        <w:rPr>
          <w:rFonts w:cs="Tahoma"/>
          <w:b w:val="0"/>
          <w:sz w:val="20"/>
          <w:lang w:val="it-IT"/>
        </w:rPr>
        <w:t>Business Rules Component</w:t>
      </w:r>
    </w:p>
    <w:bookmarkEnd w:id="5"/>
    <w:p w:rsidR="00B95BBE" w:rsidRPr="006627B8" w:rsidRDefault="00B95BBE" w:rsidP="00B95BBE">
      <w:pPr>
        <w:pStyle w:val="Bullet3"/>
        <w:spacing w:after="120"/>
        <w:rPr>
          <w:rFonts w:cs="Tahoma"/>
          <w:b w:val="0"/>
        </w:rPr>
      </w:pPr>
      <w:r w:rsidRPr="006627B8">
        <w:rPr>
          <w:rFonts w:cs="Tahoma"/>
          <w:b w:val="0"/>
          <w:sz w:val="20"/>
          <w:lang w:val="it-IT"/>
        </w:rPr>
        <w:t>MQSeries Agent</w:t>
      </w:r>
    </w:p>
    <w:p w:rsidR="00B95BBE" w:rsidRPr="00263914" w:rsidRDefault="00B95BBE" w:rsidP="00B95BBE">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B95BBE" w:rsidRPr="006627B8" w:rsidRDefault="00B95BBE" w:rsidP="00B95BBE">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B95BBE" w:rsidRPr="006627B8" w:rsidRDefault="00B95BBE" w:rsidP="00B95BBE">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B95BBE" w:rsidRPr="006627B8" w:rsidRDefault="00B95BBE" w:rsidP="00B95BBE">
      <w:pPr>
        <w:pStyle w:val="Bullet3"/>
        <w:spacing w:after="120"/>
        <w:rPr>
          <w:rFonts w:cs="Tahoma"/>
          <w:b w:val="0"/>
        </w:rPr>
      </w:pPr>
      <w:r w:rsidRPr="006627B8">
        <w:rPr>
          <w:rFonts w:cs="Tahoma"/>
          <w:b w:val="0"/>
          <w:sz w:val="20"/>
          <w:lang w:val="it-IT"/>
        </w:rPr>
        <w:lastRenderedPageBreak/>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B95BBE" w:rsidRPr="00263914" w:rsidRDefault="00B95BBE" w:rsidP="00B95BBE">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 licenziatario esegue il software server.</w:t>
      </w:r>
    </w:p>
    <w:p w:rsidR="00B95BBE" w:rsidRPr="00263914" w:rsidRDefault="00B95BBE" w:rsidP="00B95BBE">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Pr="006627B8">
        <w:rPr>
          <w:rFonts w:cs="Tahoma"/>
          <w:sz w:val="20"/>
          <w:lang w:val="it-IT"/>
        </w:rPr>
        <w:t>Il software server non potrà essere utilizzato su un server che è parte di un cluster di rete o in un ambiente del sistema operativo che è parte di un cluster di rete di OSE sullo stesso server.</w:t>
      </w:r>
    </w:p>
    <w:p w:rsidR="00B95BBE" w:rsidRPr="00263914" w:rsidRDefault="00B95BBE" w:rsidP="00B95BBE">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all’utilizzo degli stessi da parte del licenziatario.</w:t>
      </w:r>
    </w:p>
    <w:p w:rsidR="00B95BBE" w:rsidRPr="00263914" w:rsidRDefault="00B95BBE" w:rsidP="00B95BBE">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B95BBE" w:rsidRPr="00263914" w:rsidRDefault="00B95BBE" w:rsidP="00B95BBE">
      <w:pPr>
        <w:pStyle w:val="Heading2"/>
        <w:spacing w:after="120"/>
        <w:rPr>
          <w:rFonts w:cs="Tahoma"/>
          <w:lang w:val="it-IT"/>
        </w:rPr>
      </w:pPr>
      <w:r w:rsidRPr="006627B8">
        <w:rPr>
          <w:rFonts w:cs="Tahoma"/>
          <w:b/>
          <w:sz w:val="20"/>
          <w:lang w:val="it-IT"/>
        </w:rPr>
        <w:t>Comunicazioni di Terzi.</w:t>
      </w:r>
      <w:r w:rsidRPr="00263914">
        <w:rPr>
          <w:rFonts w:cs="Tahoma"/>
          <w:sz w:val="20"/>
          <w:szCs w:val="20"/>
          <w:lang w:val="it-IT"/>
        </w:rPr>
        <w:t xml:space="preserve"> </w:t>
      </w:r>
      <w:r w:rsidRPr="006627B8">
        <w:rPr>
          <w:rFonts w:cs="Tahoma"/>
          <w:sz w:val="20"/>
          <w:lang w:val="it-IT"/>
        </w:rPr>
        <w:t>Il software potrà includere codice di terzi concesso in licenza al licenziatario da Microsoft, e non da terzi, ai sensi del presente contratto.</w:t>
      </w:r>
      <w:r w:rsidRPr="00263914">
        <w:rPr>
          <w:rFonts w:cs="Tahoma"/>
          <w:lang w:val="it-IT"/>
        </w:rPr>
        <w:t xml:space="preserve"> </w:t>
      </w:r>
      <w:r w:rsidRPr="006627B8">
        <w:rPr>
          <w:rFonts w:cs="Tahoma"/>
          <w:sz w:val="20"/>
          <w:lang w:val="it-IT"/>
        </w:rPr>
        <w:t>Le eventuali comunicazioni relative al codice di terzi vengono incluse a solo scopo informativo.</w:t>
      </w:r>
    </w:p>
    <w:p w:rsidR="00B95BBE" w:rsidRPr="00263914" w:rsidRDefault="00B95BBE" w:rsidP="00B95BBE">
      <w:pPr>
        <w:pStyle w:val="Heading1"/>
        <w:spacing w:after="120"/>
        <w:rPr>
          <w:rFonts w:cs="Tahoma"/>
          <w:b/>
          <w:lang w:val="it-IT"/>
        </w:rPr>
      </w:pPr>
      <w:r w:rsidRPr="006627B8">
        <w:rPr>
          <w:rFonts w:cs="Tahoma"/>
          <w:b/>
          <w:sz w:val="20"/>
          <w:lang w:val="it-IT"/>
        </w:rPr>
        <w:t>REQUISITI AGGIUNTIVI PER LE LICENZE E/O DIRITTI DI UTILIZZO.</w:t>
      </w:r>
    </w:p>
    <w:p w:rsidR="00B95BBE" w:rsidRPr="00263914" w:rsidRDefault="00B95BBE" w:rsidP="00B95BBE">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 licenziatario non dovrà disporre di licenze CAL per l’accesso di utenti o dispositivi alle istanze del software server.</w:t>
      </w:r>
    </w:p>
    <w:p w:rsidR="00B95BBE" w:rsidRPr="006627B8" w:rsidRDefault="00B95BBE" w:rsidP="00B95BBE">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all’estremo della rete interna (o a margine dell’organizzazione)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quell’estremo.</w:t>
      </w:r>
      <w:r w:rsidRPr="00263914">
        <w:rPr>
          <w:rFonts w:cs="Tahoma"/>
          <w:lang w:val="it-IT"/>
        </w:rPr>
        <w:t xml:space="preserve"> </w:t>
      </w:r>
      <w:r w:rsidRPr="006627B8">
        <w:rPr>
          <w:rFonts w:cs="Tahoma"/>
          <w:sz w:val="20"/>
          <w:lang w:val="it-IT"/>
        </w:rPr>
        <w:t>Nessun server con licenza potrà:</w:t>
      </w:r>
    </w:p>
    <w:p w:rsidR="00B95BBE" w:rsidRPr="00263914" w:rsidRDefault="00B95BBE" w:rsidP="00B95BBE">
      <w:pPr>
        <w:pStyle w:val="Heading4"/>
        <w:tabs>
          <w:tab w:val="clear" w:pos="1437"/>
          <w:tab w:val="num" w:pos="1080"/>
        </w:tabs>
        <w:spacing w:after="120"/>
        <w:ind w:left="1080"/>
        <w:rPr>
          <w:rFonts w:cs="Tahoma"/>
          <w:b w:val="0"/>
          <w:lang w:val="it-IT"/>
        </w:rPr>
      </w:pPr>
      <w:r w:rsidRPr="006627B8">
        <w:rPr>
          <w:rFonts w:cs="Tahoma"/>
          <w:b w:val="0"/>
          <w:sz w:val="20"/>
          <w:lang w:val="it-IT"/>
        </w:rPr>
        <w:t>fungere da nodo centrale in un modello di rete “hub and spoke”;</w:t>
      </w:r>
    </w:p>
    <w:p w:rsidR="00B95BBE" w:rsidRPr="00263914" w:rsidRDefault="00B95BBE" w:rsidP="00B95BBE">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B95BBE" w:rsidRPr="006627B8" w:rsidRDefault="00B95BBE" w:rsidP="00B95BBE">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B95BBE" w:rsidRPr="006627B8" w:rsidRDefault="00B95BBE" w:rsidP="00B95BBE">
      <w:pPr>
        <w:pStyle w:val="Heading5"/>
        <w:numPr>
          <w:ilvl w:val="4"/>
          <w:numId w:val="12"/>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B95BBE" w:rsidRPr="006627B8" w:rsidRDefault="00B95BBE" w:rsidP="00B95BBE">
      <w:pPr>
        <w:pStyle w:val="Heading5"/>
        <w:numPr>
          <w:ilvl w:val="4"/>
          <w:numId w:val="12"/>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B95BBE" w:rsidRPr="006627B8" w:rsidRDefault="00B95BBE" w:rsidP="00B95BBE">
      <w:pPr>
        <w:pStyle w:val="Heading5"/>
        <w:numPr>
          <w:ilvl w:val="4"/>
          <w:numId w:val="12"/>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B95BBE" w:rsidRPr="00263914" w:rsidRDefault="00B95BBE" w:rsidP="00B95BBE">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l’hardware del licenziatario potrà limitare il numero di istanze del software server che è possibile eseguire negli OSE fisici o virtuali del server.</w:t>
      </w:r>
    </w:p>
    <w:p w:rsidR="00B95BBE" w:rsidRPr="00263914" w:rsidRDefault="00B95BBE" w:rsidP="00B95BBE">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L’hardware o il software utilizzato dal licenziatario per</w:t>
      </w:r>
    </w:p>
    <w:p w:rsidR="00B95BBE" w:rsidRPr="006627B8" w:rsidRDefault="00B95BBE" w:rsidP="00B95BBE">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B95BBE" w:rsidRPr="006627B8" w:rsidRDefault="00B95BBE" w:rsidP="00B95BBE">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B95BBE" w:rsidRPr="00263914" w:rsidRDefault="00B95BBE" w:rsidP="00B95BBE">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B95BBE" w:rsidRPr="00263914" w:rsidRDefault="00B95BBE" w:rsidP="00B95BBE">
      <w:pPr>
        <w:pStyle w:val="Heading4"/>
        <w:numPr>
          <w:ilvl w:val="0"/>
          <w:numId w:val="0"/>
        </w:numPr>
        <w:spacing w:after="120"/>
        <w:ind w:left="722"/>
        <w:rPr>
          <w:rFonts w:cs="Tahoma"/>
          <w:b w:val="0"/>
          <w:lang w:val="it-IT"/>
        </w:rPr>
      </w:pPr>
      <w:r w:rsidRPr="006627B8">
        <w:rPr>
          <w:rFonts w:cs="Tahoma"/>
          <w:b w:val="0"/>
          <w:sz w:val="20"/>
          <w:szCs w:val="20"/>
          <w:lang w:val="it-IT"/>
        </w:rPr>
        <w:t>(talvolta indicato come “multiplexing” o “pooling”), non riduce il numero di licenze di qualsiasi tipo che sono necessarie.</w:t>
      </w:r>
    </w:p>
    <w:p w:rsidR="00B95BBE" w:rsidRPr="00263914" w:rsidRDefault="00B95BBE" w:rsidP="00B95BBE">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B95BBE" w:rsidRPr="00263914" w:rsidRDefault="00B95BBE" w:rsidP="00B95BBE">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(“OM”).</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 di licenza per OM si applicano all’utilizzo da parte del licenziatario di OM Management Packs.</w:t>
      </w:r>
    </w:p>
    <w:p w:rsidR="00B95BBE" w:rsidRPr="00263914" w:rsidRDefault="00B95BBE" w:rsidP="00B95BBE">
      <w:pPr>
        <w:pStyle w:val="Heading2"/>
        <w:spacing w:after="120"/>
        <w:rPr>
          <w:rFonts w:cs="Tahoma"/>
          <w:lang w:val="it-IT"/>
        </w:rPr>
      </w:pPr>
      <w:r w:rsidRPr="006627B8">
        <w:rPr>
          <w:rFonts w:cs="Tahoma"/>
          <w:b/>
          <w:sz w:val="20"/>
          <w:lang w:val="it-IT"/>
        </w:rPr>
        <w:lastRenderedPageBreak/>
        <w:t>Codice Distribuibile.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B95BBE" w:rsidRPr="00263914" w:rsidRDefault="00B95BBE" w:rsidP="00B95BBE">
      <w:pPr>
        <w:pStyle w:val="Heading3Bold"/>
        <w:numPr>
          <w:ilvl w:val="2"/>
          <w:numId w:val="13"/>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Il codice e i file di testo elencati di seguito costituiscono il “Codice Distribuibile”.</w:t>
      </w:r>
    </w:p>
    <w:p w:rsidR="00B95BBE" w:rsidRPr="00263914" w:rsidRDefault="00B95BBE" w:rsidP="00B95BBE">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Il licenziatario potrà modificare, duplicare e distribuire il formato in codice sorgente e in codice oggetto del codice identificato come “campione”.</w:t>
      </w:r>
    </w:p>
    <w:p w:rsidR="00B95BBE" w:rsidRPr="00263914" w:rsidRDefault="00B95BBE" w:rsidP="00B95BBE">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B95BBE" w:rsidRPr="00263914" w:rsidRDefault="00B95BBE" w:rsidP="00B95BBE">
      <w:pPr>
        <w:pStyle w:val="Heading3"/>
        <w:numPr>
          <w:ilvl w:val="2"/>
          <w:numId w:val="7"/>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B95BBE" w:rsidRPr="00263914" w:rsidRDefault="00B95BBE" w:rsidP="00B95BBE">
      <w:pPr>
        <w:numPr>
          <w:ilvl w:val="0"/>
          <w:numId w:val="6"/>
        </w:numPr>
        <w:spacing w:after="120"/>
        <w:rPr>
          <w:lang w:val="it-IT"/>
        </w:rPr>
      </w:pPr>
      <w:r w:rsidRPr="006627B8">
        <w:rPr>
          <w:sz w:val="20"/>
          <w:lang w:val="it-IT"/>
        </w:rPr>
        <w:t>aggiungere rilevanti e significative funzionalità ai programmi;</w:t>
      </w:r>
    </w:p>
    <w:p w:rsidR="00B95BBE" w:rsidRPr="00263914" w:rsidRDefault="00B95BBE" w:rsidP="00B95BBE">
      <w:pPr>
        <w:numPr>
          <w:ilvl w:val="0"/>
          <w:numId w:val="6"/>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B95BBE" w:rsidRPr="00263914" w:rsidRDefault="00B95BBE" w:rsidP="00B95BBE">
      <w:pPr>
        <w:numPr>
          <w:ilvl w:val="0"/>
          <w:numId w:val="6"/>
        </w:numPr>
        <w:spacing w:after="120"/>
        <w:rPr>
          <w:lang w:val="it-IT"/>
        </w:rPr>
      </w:pPr>
      <w:r w:rsidRPr="006627B8">
        <w:rPr>
          <w:sz w:val="20"/>
          <w:lang w:val="it-IT"/>
        </w:rPr>
        <w:t>visualizzare una valida comunicazione di copyright sui programmi e</w:t>
      </w:r>
    </w:p>
    <w:p w:rsidR="00B95BBE" w:rsidRPr="00263914" w:rsidRDefault="00B95BBE" w:rsidP="00B95BBE">
      <w:pPr>
        <w:numPr>
          <w:ilvl w:val="0"/>
          <w:numId w:val="6"/>
        </w:numPr>
        <w:spacing w:after="120"/>
        <w:rPr>
          <w:lang w:val="it-IT"/>
        </w:rPr>
      </w:pPr>
      <w:r w:rsidRPr="006627B8">
        <w:rPr>
          <w:sz w:val="20"/>
          <w:lang w:val="it-IT"/>
        </w:rPr>
        <w:t>indennizzare, manlevare e difendere il Licenziante e Microsoft da ogni e qualsiasi domanda o azione giudiziaria, ivi incluse le spese legali, relative all’utilizzo o alla distribuzione dei propri programmi.</w:t>
      </w:r>
    </w:p>
    <w:p w:rsidR="00B95BBE" w:rsidRPr="00263914" w:rsidRDefault="00B95BBE" w:rsidP="00B95BBE">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B95BBE" w:rsidRPr="00263914" w:rsidRDefault="00B95BBE" w:rsidP="00B95BBE">
      <w:pPr>
        <w:numPr>
          <w:ilvl w:val="0"/>
          <w:numId w:val="8"/>
        </w:numPr>
        <w:spacing w:after="120"/>
        <w:rPr>
          <w:lang w:val="it-IT"/>
        </w:rPr>
      </w:pPr>
      <w:r w:rsidRPr="006627B8">
        <w:rPr>
          <w:sz w:val="20"/>
          <w:lang w:val="it-IT"/>
        </w:rPr>
        <w:t>modificare alcuna comunicazione riguardante il copyright, i marchi o i brevetti presente nel Codice Distribuibile;</w:t>
      </w:r>
    </w:p>
    <w:p w:rsidR="00B95BBE" w:rsidRPr="00263914" w:rsidRDefault="00B95BBE" w:rsidP="00B95BBE">
      <w:pPr>
        <w:numPr>
          <w:ilvl w:val="0"/>
          <w:numId w:val="8"/>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B95BBE" w:rsidRPr="00263914" w:rsidRDefault="00B95BBE" w:rsidP="00B95BBE">
      <w:pPr>
        <w:numPr>
          <w:ilvl w:val="0"/>
          <w:numId w:val="8"/>
        </w:numPr>
        <w:spacing w:after="120"/>
        <w:rPr>
          <w:lang w:val="it-IT"/>
        </w:rPr>
      </w:pPr>
      <w:r w:rsidRPr="006627B8">
        <w:rPr>
          <w:sz w:val="20"/>
          <w:lang w:val="it-IT"/>
        </w:rPr>
        <w:t>distribuire Codice Distribuibile da eseguire su una piattaforma diversa dalla piattaforma Windows;</w:t>
      </w:r>
    </w:p>
    <w:p w:rsidR="00B95BBE" w:rsidRPr="00263914" w:rsidRDefault="00B95BBE" w:rsidP="00B95BBE">
      <w:pPr>
        <w:numPr>
          <w:ilvl w:val="0"/>
          <w:numId w:val="8"/>
        </w:numPr>
        <w:spacing w:after="120"/>
        <w:rPr>
          <w:lang w:val="it-IT"/>
        </w:rPr>
      </w:pPr>
      <w:r w:rsidRPr="006627B8">
        <w:rPr>
          <w:sz w:val="20"/>
          <w:lang w:val="it-IT"/>
        </w:rPr>
        <w:t>includere il Codice Distribuibile in programmi dannosi, ingannevoli o illegali né</w:t>
      </w:r>
    </w:p>
    <w:p w:rsidR="00B95BBE" w:rsidRPr="00263914" w:rsidRDefault="00B95BBE" w:rsidP="00B95BBE">
      <w:pPr>
        <w:numPr>
          <w:ilvl w:val="0"/>
          <w:numId w:val="8"/>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l’utilizzo, la modifica o la distribuzione richieda che</w:t>
      </w:r>
    </w:p>
    <w:p w:rsidR="00B95BBE" w:rsidRPr="00263914" w:rsidRDefault="00B95BBE" w:rsidP="00B95BBE">
      <w:pPr>
        <w:numPr>
          <w:ilvl w:val="2"/>
          <w:numId w:val="8"/>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B95BBE" w:rsidRPr="00263914" w:rsidRDefault="00B95BBE" w:rsidP="00B95BBE">
      <w:pPr>
        <w:numPr>
          <w:ilvl w:val="2"/>
          <w:numId w:val="8"/>
        </w:numPr>
        <w:tabs>
          <w:tab w:val="clear" w:pos="2877"/>
          <w:tab w:val="num" w:pos="1800"/>
        </w:tabs>
        <w:spacing w:after="120"/>
        <w:ind w:left="1800"/>
        <w:rPr>
          <w:lang w:val="it-IT"/>
        </w:rPr>
      </w:pPr>
      <w:r w:rsidRPr="006627B8">
        <w:rPr>
          <w:sz w:val="20"/>
          <w:lang w:val="it-IT"/>
        </w:rPr>
        <w:t>altri abbiano il diritto di modificarlo.</w:t>
      </w:r>
    </w:p>
    <w:p w:rsidR="00B95BBE" w:rsidRPr="00263914" w:rsidRDefault="00B95BBE" w:rsidP="00B95BBE">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B95BBE" w:rsidRPr="00263914" w:rsidRDefault="00B95BBE" w:rsidP="00B95BBE">
      <w:pPr>
        <w:pStyle w:val="Heading2"/>
        <w:spacing w:after="120"/>
        <w:rPr>
          <w:rFonts w:cs="Tahoma"/>
          <w:lang w:val="it-IT"/>
        </w:rPr>
      </w:pPr>
      <w:r w:rsidRPr="006627B8">
        <w:rPr>
          <w:rFonts w:cs="Tahoma"/>
          <w:b/>
          <w:sz w:val="20"/>
          <w:szCs w:val="20"/>
          <w:lang w:val="it-IT"/>
        </w:rPr>
        <w:t>Consenso all’Utilizzo dei Servizi basati su Internet.</w:t>
      </w:r>
      <w:r w:rsidRPr="00263914">
        <w:rPr>
          <w:rFonts w:cs="Tahoma"/>
          <w:sz w:val="20"/>
          <w:szCs w:val="20"/>
          <w:lang w:val="it-IT"/>
        </w:rPr>
        <w:t xml:space="preserve"> </w:t>
      </w:r>
      <w:r w:rsidRPr="006627B8">
        <w:rPr>
          <w:rFonts w:cs="Tahoma"/>
          <w:sz w:val="20"/>
          <w:lang w:val="it-IT"/>
        </w:rPr>
        <w:t>La funzionalità del software descritta di seguito e nell’Informativa sulla Privacy del Servizio Segnalazione Errori si connette ai sistemi informatici di Microsoft o 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 http://oca.microsoft.com/en/dcp20.asp.</w:t>
      </w:r>
      <w:r w:rsidRPr="00263914">
        <w:rPr>
          <w:rFonts w:cs="Tahoma"/>
          <w:bCs/>
          <w:sz w:val="20"/>
          <w:szCs w:val="20"/>
          <w:lang w:val="it-IT"/>
        </w:rPr>
        <w:t xml:space="preserve"> </w:t>
      </w:r>
      <w:r w:rsidRPr="006627B8">
        <w:rPr>
          <w:rFonts w:cs="Tahoma"/>
          <w:b/>
          <w:sz w:val="20"/>
          <w:szCs w:val="20"/>
          <w:lang w:val="it-IT"/>
        </w:rPr>
        <w:t>L’utilizzo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 licenziatario.</w:t>
      </w:r>
    </w:p>
    <w:p w:rsidR="00B95BBE" w:rsidRPr="00263914" w:rsidRDefault="00B95BBE" w:rsidP="00B95BBE">
      <w:pPr>
        <w:pStyle w:val="body2underline"/>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B95BBE" w:rsidRPr="00263914" w:rsidRDefault="00B95BBE" w:rsidP="00B95BBE">
      <w:pPr>
        <w:pStyle w:val="ListParagraph"/>
        <w:numPr>
          <w:ilvl w:val="0"/>
          <w:numId w:val="14"/>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 xml:space="preserve">Per </w:t>
      </w:r>
      <w:r w:rsidRPr="006627B8">
        <w:rPr>
          <w:rFonts w:ascii="Tahoma" w:hAnsi="Tahoma" w:cs="Tahoma"/>
          <w:b w:val="0"/>
          <w:lang w:val="it-IT"/>
        </w:rPr>
        <w:lastRenderedPageBreak/>
        <w:t>prevenire i problemi e aumentare l’affidabilità del software, alcune soluzioni vengono inoltre incluse nei service pack e nelle versioni successive del software.</w:t>
      </w:r>
    </w:p>
    <w:p w:rsidR="00B95BBE" w:rsidRPr="00263914" w:rsidRDefault="00B95BBE" w:rsidP="00B95BBE">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 un componente di Windows.</w:t>
      </w:r>
      <w:r w:rsidRPr="00263914">
        <w:rPr>
          <w:rFonts w:cs="Tahoma"/>
          <w:lang w:val="it-IT"/>
        </w:rPr>
        <w:t xml:space="preserve"> </w:t>
      </w:r>
      <w:r w:rsidRPr="006627B8">
        <w:rPr>
          <w:rFonts w:cs="Tahoma"/>
          <w:sz w:val="20"/>
          <w:lang w:val="it-IT"/>
        </w:rPr>
        <w:t>Le condizioni di licenza per Windows si applicano all’utilizzo del software .NET Framework da parte del licenziatario.</w:t>
      </w:r>
    </w:p>
    <w:p w:rsidR="00B95BBE" w:rsidRPr="00263914" w:rsidRDefault="00B95BBE" w:rsidP="00B95BBE">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B95BBE" w:rsidRPr="00263914" w:rsidRDefault="00B95BBE" w:rsidP="00B95BBE">
      <w:pPr>
        <w:pStyle w:val="Heading1"/>
        <w:spacing w:after="120"/>
        <w:rPr>
          <w:rFonts w:cs="Tahoma"/>
          <w:lang w:val="it-IT"/>
        </w:rPr>
      </w:pPr>
      <w:r w:rsidRPr="006627B8">
        <w:rPr>
          <w:rFonts w:cs="Tahoma"/>
          <w:b/>
          <w:sz w:val="20"/>
          <w:lang w:val="it-IT"/>
        </w:rPr>
        <w:t>PROVE COMPARATIVE DI MICROSOFT</w:t>
      </w:r>
      <w:r>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(“Componente .NET”).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 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B95BBE" w:rsidRPr="006627B8" w:rsidRDefault="00B95BBE" w:rsidP="00B95BBE">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 licenziatario non potrà</w:t>
      </w:r>
    </w:p>
    <w:p w:rsidR="00B95BBE" w:rsidRPr="00263914" w:rsidRDefault="00B95BBE" w:rsidP="00B95BBE">
      <w:pPr>
        <w:pStyle w:val="Bullet2"/>
        <w:spacing w:after="120"/>
        <w:rPr>
          <w:lang w:val="it-IT"/>
        </w:rPr>
      </w:pPr>
      <w:r w:rsidRPr="006627B8">
        <w:rPr>
          <w:sz w:val="20"/>
          <w:lang w:val="it-IT"/>
        </w:rPr>
        <w:t>aggirare le limitazioni tecniche presenti nel software;</w:t>
      </w:r>
    </w:p>
    <w:p w:rsidR="00B95BBE" w:rsidRPr="00263914" w:rsidRDefault="00B95BBE" w:rsidP="00B95BBE">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B95BBE" w:rsidRPr="00263914" w:rsidRDefault="00B95BBE" w:rsidP="00B95BBE">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B95BBE" w:rsidRPr="00263914" w:rsidRDefault="00B95BBE" w:rsidP="00B95BBE">
      <w:pPr>
        <w:pStyle w:val="Bullet2"/>
        <w:spacing w:after="120"/>
        <w:rPr>
          <w:lang w:val="it-IT"/>
        </w:rPr>
      </w:pPr>
      <w:r w:rsidRPr="006627B8">
        <w:rPr>
          <w:sz w:val="20"/>
          <w:lang w:val="it-IT"/>
        </w:rPr>
        <w:t>pubblicare il software per consentire ad altri di duplicarlo;</w:t>
      </w:r>
    </w:p>
    <w:p w:rsidR="00B95BBE" w:rsidRPr="00263914" w:rsidRDefault="00B95BBE" w:rsidP="00B95BBE">
      <w:pPr>
        <w:pStyle w:val="Bullet2"/>
        <w:spacing w:after="120"/>
        <w:rPr>
          <w:lang w:val="it-IT"/>
        </w:rPr>
      </w:pPr>
      <w:r w:rsidRPr="006627B8">
        <w:rPr>
          <w:sz w:val="20"/>
          <w:lang w:val="it-IT"/>
        </w:rPr>
        <w:t>concedere il software in noleggio, locazione o prestito oppure</w:t>
      </w:r>
    </w:p>
    <w:p w:rsidR="00B95BBE" w:rsidRPr="00263914" w:rsidRDefault="00B95BBE" w:rsidP="00B95BBE">
      <w:pPr>
        <w:pStyle w:val="Bullet2"/>
        <w:spacing w:after="120"/>
        <w:rPr>
          <w:lang w:val="it-IT"/>
        </w:rPr>
      </w:pPr>
      <w:r w:rsidRPr="006627B8">
        <w:rPr>
          <w:sz w:val="20"/>
          <w:lang w:val="it-IT"/>
        </w:rPr>
        <w:t>utilizzare il software per fornire hosting di servizi commerciali.</w:t>
      </w:r>
    </w:p>
    <w:p w:rsidR="00B95BBE" w:rsidRPr="00263914" w:rsidRDefault="00B95BBE" w:rsidP="00B95BBE">
      <w:pPr>
        <w:spacing w:after="120"/>
        <w:ind w:left="360"/>
        <w:rPr>
          <w:lang w:val="it-IT"/>
        </w:rPr>
      </w:pPr>
      <w:r w:rsidRPr="006627B8">
        <w:rPr>
          <w:sz w:val="20"/>
          <w:lang w:val="it-IT"/>
        </w:rPr>
        <w:t>I diritti per accedere al software su un dispositivo qualsiasi non autorizzano il licenziatario a implementare alcun</w:t>
      </w:r>
      <w:r>
        <w:rPr>
          <w:sz w:val="20"/>
          <w:lang w:val="it-IT"/>
        </w:rPr>
        <w:t> </w:t>
      </w:r>
      <w:r w:rsidRPr="006627B8">
        <w:rPr>
          <w:sz w:val="20"/>
          <w:lang w:val="it-IT"/>
        </w:rPr>
        <w:t>brevetto Microsoft o altra proprietà intellettuale Microsoft nel software o nei dispositivi che accedono a</w:t>
      </w:r>
      <w:r>
        <w:rPr>
          <w:sz w:val="20"/>
          <w:lang w:val="it-IT"/>
        </w:rPr>
        <w:t> </w:t>
      </w:r>
      <w:r w:rsidRPr="006627B8">
        <w:rPr>
          <w:sz w:val="20"/>
          <w:lang w:val="it-IT"/>
        </w:rPr>
        <w:t>tale</w:t>
      </w:r>
      <w:r>
        <w:rPr>
          <w:sz w:val="20"/>
          <w:lang w:val="it-IT"/>
        </w:rPr>
        <w:t> </w:t>
      </w:r>
      <w:r w:rsidRPr="006627B8">
        <w:rPr>
          <w:sz w:val="20"/>
          <w:lang w:val="it-IT"/>
        </w:rPr>
        <w:t>dispositivo.</w:t>
      </w:r>
    </w:p>
    <w:p w:rsidR="00B95BBE" w:rsidRPr="006627B8" w:rsidRDefault="00B95BBE" w:rsidP="00B95BBE">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 licenziatario potrà utilizzare sono una versione alla volta.</w:t>
      </w:r>
    </w:p>
    <w:p w:rsidR="00B95BBE" w:rsidRPr="00263914" w:rsidRDefault="00B95BBE" w:rsidP="00B95BBE">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B95BBE" w:rsidRPr="00263914" w:rsidRDefault="00B95BBE" w:rsidP="00B95BBE">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B95BBE" w:rsidRPr="006627B8" w:rsidRDefault="00B95BBE" w:rsidP="00B95BBE">
      <w:pPr>
        <w:pStyle w:val="Heading1"/>
        <w:spacing w:after="120"/>
        <w:rPr>
          <w:rFonts w:cs="Tahoma"/>
          <w:sz w:val="20"/>
          <w:szCs w:val="20"/>
        </w:rPr>
      </w:pPr>
      <w:r w:rsidRPr="006627B8">
        <w:rPr>
          <w:rFonts w:cs="Tahoma"/>
          <w:b/>
          <w:sz w:val="20"/>
          <w:szCs w:val="20"/>
          <w:lang w:val="it-IT"/>
        </w:rPr>
        <w:t>CAMPIONE DIMOSTRATIVO. VIETATA LA VENDITA (“Not for Resale” o “NFR”).</w:t>
      </w:r>
      <w:r w:rsidRPr="00263914">
        <w:rPr>
          <w:rFonts w:cs="Tahoma"/>
          <w:sz w:val="20"/>
          <w:szCs w:val="20"/>
          <w:lang w:val="it-IT"/>
        </w:rPr>
        <w:t xml:space="preserve"> </w:t>
      </w:r>
      <w:r w:rsidRPr="006627B8">
        <w:rPr>
          <w:rFonts w:cs="Tahoma"/>
          <w:sz w:val="20"/>
          <w:szCs w:val="20"/>
          <w:lang w:val="it-IT"/>
        </w:rPr>
        <w:t>Il licenziatario non potrà vendere il software che rechi l’etichetta “Campione Dimostrativo. Vietata la vendita” (“Not for Resale” o “NFR”).</w:t>
      </w:r>
    </w:p>
    <w:p w:rsidR="00B95BBE" w:rsidRPr="00263914" w:rsidRDefault="00B95BBE" w:rsidP="00B95BBE">
      <w:pPr>
        <w:pStyle w:val="Heading1"/>
        <w:spacing w:after="120"/>
        <w:rPr>
          <w:rFonts w:cs="Tahoma"/>
          <w:sz w:val="20"/>
          <w:szCs w:val="20"/>
          <w:lang w:val="it-IT"/>
        </w:rPr>
      </w:pPr>
      <w:r w:rsidRPr="00263914">
        <w:rPr>
          <w:rFonts w:cs="Tahoma"/>
          <w:b/>
          <w:sz w:val="20"/>
          <w:szCs w:val="20"/>
        </w:rPr>
        <w:t>SOFTWARE “EDIZIONE EDUCATION” (“Academic Edition” o “AE”).</w:t>
      </w:r>
      <w:r w:rsidRPr="006627B8">
        <w:rPr>
          <w:rFonts w:cs="Tahoma"/>
          <w:sz w:val="20"/>
          <w:szCs w:val="20"/>
        </w:rPr>
        <w:t xml:space="preserve"> </w:t>
      </w:r>
      <w:r w:rsidRPr="006627B8">
        <w:rPr>
          <w:rFonts w:cs="Tahoma"/>
          <w:sz w:val="20"/>
          <w:szCs w:val="20"/>
          <w:lang w:val="it-IT"/>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B95BBE" w:rsidRPr="00263914" w:rsidRDefault="00B95BBE" w:rsidP="00B95BBE">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l’aggiornamento.</w:t>
      </w:r>
    </w:p>
    <w:p w:rsidR="00B95BBE" w:rsidRPr="00263914" w:rsidRDefault="00B95BBE" w:rsidP="00B95BBE">
      <w:pPr>
        <w:pStyle w:val="Heading1"/>
        <w:spacing w:after="120"/>
        <w:rPr>
          <w:rFonts w:cs="Tahoma"/>
          <w:sz w:val="20"/>
          <w:szCs w:val="20"/>
          <w:lang w:val="it-IT"/>
        </w:rPr>
      </w:pPr>
      <w:r w:rsidRPr="006627B8">
        <w:rPr>
          <w:rFonts w:cs="Tahoma"/>
          <w:b/>
          <w:sz w:val="20"/>
          <w:szCs w:val="20"/>
          <w:lang w:val="it-IT"/>
        </w:rPr>
        <w:lastRenderedPageBreak/>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un’altra licenza per il software.</w:t>
      </w:r>
    </w:p>
    <w:p w:rsidR="00B95BBE" w:rsidRPr="00263914" w:rsidRDefault="00B95BBE" w:rsidP="00B95BBE">
      <w:pPr>
        <w:pStyle w:val="Heading1"/>
        <w:spacing w:after="120"/>
        <w:rPr>
          <w:rFonts w:cs="Tahoma"/>
          <w:sz w:val="20"/>
          <w:szCs w:val="20"/>
          <w:lang w:val="it-IT"/>
        </w:rPr>
      </w:pPr>
      <w:r w:rsidRPr="006627B8">
        <w:rPr>
          <w:rFonts w:cs="Tahoma"/>
          <w:b/>
          <w:sz w:val="20"/>
          <w:szCs w:val="20"/>
          <w:lang w:val="it-IT"/>
        </w:rPr>
        <w:t>RESTRIZIONI ALL’ESPORTAZIONE.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 materia di controllo dell’esportazione.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dell’esportazione.</w:t>
      </w:r>
      <w:r w:rsidRPr="00263914">
        <w:rPr>
          <w:rFonts w:cs="Tahoma"/>
          <w:sz w:val="20"/>
          <w:szCs w:val="20"/>
          <w:lang w:val="it-IT"/>
        </w:rPr>
        <w:t xml:space="preserve"> </w:t>
      </w:r>
      <w:r w:rsidRPr="006627B8">
        <w:rPr>
          <w:rFonts w:cs="Tahoma"/>
          <w:sz w:val="20"/>
          <w:szCs w:val="20"/>
          <w:lang w:val="it-IT"/>
        </w:rPr>
        <w:t>Tali leggi includono limitazioni circa le destinazioni, gli utenti finali e l’utilizzo finale.</w:t>
      </w:r>
      <w:r w:rsidRPr="00263914">
        <w:rPr>
          <w:rFonts w:cs="Tahoma"/>
          <w:sz w:val="20"/>
          <w:szCs w:val="20"/>
          <w:lang w:val="it-IT"/>
        </w:rPr>
        <w:t xml:space="preserve"> </w:t>
      </w:r>
      <w:r w:rsidRPr="006627B8">
        <w:rPr>
          <w:rFonts w:cs="Tahoma"/>
          <w:sz w:val="20"/>
          <w:szCs w:val="20"/>
          <w:lang w:val="it-IT"/>
        </w:rPr>
        <w:t>Per ulteriori informazioni, il licenziatario potrà visitare la pagina www.microsoft.com/exporting.</w:t>
      </w:r>
    </w:p>
    <w:p w:rsidR="00B95BBE" w:rsidRPr="00263914" w:rsidRDefault="00B95BBE" w:rsidP="00B95BBE">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 i servizi basati su Internet utilizzati dal licenziatario costituiscono l’intero accordo relativo al software.</w:t>
      </w:r>
    </w:p>
    <w:p w:rsidR="00B95BBE" w:rsidRPr="00263914" w:rsidRDefault="00B95BBE" w:rsidP="00B95BBE">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 modifica i diritti del licenziatario che la legge del suo Paese di residenza non consente di modificare.</w:t>
      </w:r>
    </w:p>
    <w:p w:rsidR="00B95BBE" w:rsidRPr="00263914" w:rsidRDefault="00B95BBE" w:rsidP="00B95BBE">
      <w:pPr>
        <w:pStyle w:val="Heading1"/>
        <w:spacing w:after="120"/>
        <w:rPr>
          <w:rFonts w:cs="Tahoma"/>
          <w:b/>
          <w:lang w:val="it-IT"/>
        </w:rPr>
      </w:pPr>
      <w:r w:rsidRPr="006627B8">
        <w:rPr>
          <w:rFonts w:cs="Tahoma"/>
          <w:b/>
          <w:sz w:val="20"/>
          <w:szCs w:val="20"/>
          <w:lang w:val="it-IT"/>
        </w:rPr>
        <w:t>NESSUNA TOLLERANZA D’ERRORE.</w:t>
      </w:r>
      <w:r w:rsidRPr="00263914">
        <w:rPr>
          <w:rFonts w:cs="Tahoma"/>
          <w:b/>
          <w:sz w:val="20"/>
          <w:szCs w:val="20"/>
          <w:lang w:val="it-IT"/>
        </w:rPr>
        <w:t xml:space="preserve"> </w:t>
      </w:r>
      <w:r w:rsidRPr="006627B8">
        <w:rPr>
          <w:rFonts w:cs="Tahoma"/>
          <w:b/>
          <w:sz w:val="20"/>
          <w:szCs w:val="20"/>
          <w:lang w:val="it-IT"/>
        </w:rPr>
        <w:t>IL SOFTWARE NON È A TOLLERANZA D’ERRORE.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B95BBE" w:rsidRPr="00263914" w:rsidRDefault="00B95BBE" w:rsidP="00B95BBE">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B95BBE" w:rsidRPr="00D5072F" w:rsidRDefault="00B95BBE" w:rsidP="00B95BBE">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B95BBE" w:rsidRPr="00D5072F" w:rsidRDefault="00B95BBE" w:rsidP="00B95BBE">
      <w:pPr>
        <w:pStyle w:val="Heading1"/>
        <w:spacing w:after="120"/>
        <w:rPr>
          <w:rFonts w:cs="Tahoma"/>
          <w:b/>
          <w:sz w:val="20"/>
          <w:szCs w:val="20"/>
          <w:lang w:val="it-IT"/>
        </w:rPr>
      </w:pPr>
      <w:r w:rsidRPr="006627B8">
        <w:rPr>
          <w:rFonts w:cs="Tahoma"/>
          <w:b/>
          <w:sz w:val="20"/>
          <w:szCs w:val="20"/>
          <w:lang w:val="it-IT"/>
        </w:rPr>
        <w:t>SOLO PER L’AUSTRALIA.</w:t>
      </w:r>
      <w:r w:rsidRPr="00D5072F">
        <w:rPr>
          <w:rFonts w:cs="Tahoma"/>
          <w:b/>
          <w:sz w:val="20"/>
          <w:szCs w:val="20"/>
          <w:lang w:val="it-IT"/>
        </w:rPr>
        <w:t xml:space="preserve"> </w:t>
      </w:r>
      <w:r w:rsidRPr="006627B8">
        <w:rPr>
          <w:rFonts w:cs="Tahoma"/>
          <w:b/>
          <w:sz w:val="20"/>
          <w:szCs w:val="20"/>
          <w:lang w:val="it-IT"/>
        </w:rPr>
        <w:t>Il termine “Garanzia Limitata”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B95BBE" w:rsidRPr="00D5072F" w:rsidRDefault="00B95BBE" w:rsidP="00B95BBE">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all’acquisto effettuato dal licenziatario, a</w:t>
      </w:r>
      <w:r w:rsidRPr="00D5072F">
        <w:rPr>
          <w:rFonts w:ascii="Tahoma" w:hAnsi="Tahoma" w:cs="Tahoma"/>
          <w:sz w:val="20"/>
          <w:szCs w:val="20"/>
          <w:lang w:val="it-IT"/>
        </w:rPr>
        <w:t> </w:t>
      </w:r>
      <w:r w:rsidRPr="006627B8">
        <w:rPr>
          <w:rFonts w:ascii="Tahoma" w:hAnsi="Tahoma" w:cs="Tahoma"/>
          <w:sz w:val="20"/>
          <w:szCs w:val="20"/>
          <w:lang w:val="it-IT"/>
        </w:rPr>
        <w:t>quest’ultimo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B95BBE" w:rsidRPr="00D5072F" w:rsidRDefault="00B95BBE" w:rsidP="00B95BBE">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Pr="006627B8">
        <w:rPr>
          <w:rFonts w:ascii="Tahoma" w:eastAsiaTheme="minorEastAsia" w:hAnsi="Tahoma" w:cs="Tahoma" w:hint="eastAsia"/>
          <w:sz w:val="20"/>
          <w:szCs w:val="20"/>
          <w:lang w:val="it-IT" w:eastAsia="zh-CN"/>
        </w:rPr>
        <w:br/>
      </w:r>
      <w:r w:rsidRPr="006627B8">
        <w:rPr>
          <w:rFonts w:ascii="Tahoma" w:hAnsi="Tahoma" w:cs="Tahoma"/>
          <w:sz w:val="20"/>
          <w:szCs w:val="20"/>
          <w:lang w:val="it-IT"/>
        </w:rPr>
        <w:t>e/o negli altri paesi.</w:t>
      </w:r>
    </w:p>
    <w:p w:rsidR="00266466" w:rsidRDefault="00266466"/>
    <w:sectPr w:rsidR="00266466" w:rsidSect="00DC475B">
      <w:footerReference w:type="default" r:id="rId7"/>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BBE" w:rsidRDefault="00B95BBE" w:rsidP="00B95BBE">
      <w:pPr>
        <w:spacing w:before="0" w:after="0"/>
      </w:pPr>
      <w:r>
        <w:separator/>
      </w:r>
    </w:p>
  </w:endnote>
  <w:endnote w:type="continuationSeparator" w:id="0">
    <w:p w:rsidR="00B95BBE" w:rsidRDefault="00B95BBE" w:rsidP="00B95BB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90C" w:rsidRPr="003F7F92" w:rsidRDefault="00E612B6" w:rsidP="003F7F92">
    <w:pPr>
      <w:rPr>
        <w:rStyle w:val="LogoportDoNotTranslate"/>
      </w:rPr>
    </w:pPr>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Pr>
        <w:noProof/>
      </w:rPr>
      <w:t>7</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BBE" w:rsidRDefault="00B95BBE" w:rsidP="00B95BBE">
      <w:pPr>
        <w:spacing w:before="0" w:after="0"/>
      </w:pPr>
      <w:r>
        <w:separator/>
      </w:r>
    </w:p>
  </w:footnote>
  <w:footnote w:type="continuationSeparator" w:id="0">
    <w:p w:rsidR="00B95BBE" w:rsidRDefault="00B95BBE" w:rsidP="00B95BBE">
      <w:pPr>
        <w:spacing w:before="0" w:after="0"/>
      </w:pPr>
      <w:r>
        <w:continuationSeparator/>
      </w:r>
    </w:p>
  </w:footnote>
  <w:footnote w:id="1">
    <w:p w:rsidR="00B95BBE" w:rsidRPr="001F1D99" w:rsidRDefault="00B95BBE" w:rsidP="00B95BBE">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Branch, Academic Edition.</w:t>
      </w:r>
    </w:p>
  </w:footnote>
  <w:footnote w:id="2">
    <w:p w:rsidR="00B95BBE" w:rsidRPr="001F1D99" w:rsidRDefault="00B95BBE" w:rsidP="00B95BBE">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4">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7"/>
  </w:num>
  <w:num w:numId="3">
    <w:abstractNumId w:val="6"/>
  </w:num>
  <w:num w:numId="4">
    <w:abstractNumId w:val="0"/>
  </w:num>
  <w:num w:numId="5">
    <w:abstractNumId w:val="2"/>
  </w:num>
  <w:num w:numId="6">
    <w:abstractNumId w:val="8"/>
  </w:num>
  <w:num w:numId="7">
    <w:abstractNumId w:val="2"/>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7dNbMLlJUFM8bb9wuPHGzqQSZMt9mdJz14smJuezcbHJemZM1F4OVMGdnogb6JtuvQiEn/3H+VQgAUy7SeVfnA==" w:salt="0v/0v4In3SuQrGmsxxYTB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BBE"/>
    <w:rsid w:val="00266466"/>
    <w:rsid w:val="00B95BBE"/>
    <w:rsid w:val="00E61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BE707-59E3-445B-B8A6-76760628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BBE"/>
    <w:pPr>
      <w:autoSpaceDE w:val="0"/>
      <w:autoSpaceDN w:val="0"/>
      <w:adjustRightInd w:val="0"/>
      <w:spacing w:before="120" w:after="60" w:line="240" w:lineRule="auto"/>
    </w:pPr>
    <w:rPr>
      <w:rFonts w:ascii="Tahoma" w:eastAsia="MS Mincho" w:hAnsi="Tahoma" w:cs="Tahoma"/>
      <w:bCs/>
      <w:sz w:val="19"/>
      <w:szCs w:val="19"/>
    </w:rPr>
  </w:style>
  <w:style w:type="paragraph" w:styleId="Heading1">
    <w:name w:val="heading 1"/>
    <w:basedOn w:val="Normal"/>
    <w:link w:val="Heading1Char"/>
    <w:uiPriority w:val="99"/>
    <w:qFormat/>
    <w:rsid w:val="00B95BBE"/>
    <w:pPr>
      <w:numPr>
        <w:numId w:val="5"/>
      </w:numPr>
      <w:outlineLvl w:val="0"/>
    </w:pPr>
    <w:rPr>
      <w:rFonts w:cs="Times New Roman"/>
      <w:bCs w:val="0"/>
      <w:lang w:eastAsia="zh-CN"/>
    </w:rPr>
  </w:style>
  <w:style w:type="paragraph" w:styleId="Heading2">
    <w:name w:val="heading 2"/>
    <w:basedOn w:val="Normal"/>
    <w:link w:val="Heading2Char"/>
    <w:uiPriority w:val="99"/>
    <w:qFormat/>
    <w:rsid w:val="00B95BBE"/>
    <w:pPr>
      <w:numPr>
        <w:ilvl w:val="1"/>
        <w:numId w:val="5"/>
      </w:numPr>
      <w:outlineLvl w:val="1"/>
    </w:pPr>
    <w:rPr>
      <w:rFonts w:cs="Times New Roman"/>
      <w:bCs w:val="0"/>
      <w:lang w:eastAsia="zh-CN"/>
    </w:rPr>
  </w:style>
  <w:style w:type="paragraph" w:styleId="Heading3">
    <w:name w:val="heading 3"/>
    <w:basedOn w:val="Normal"/>
    <w:link w:val="Heading3Char"/>
    <w:uiPriority w:val="99"/>
    <w:qFormat/>
    <w:rsid w:val="00B95BBE"/>
    <w:pPr>
      <w:numPr>
        <w:ilvl w:val="2"/>
        <w:numId w:val="5"/>
      </w:numPr>
      <w:tabs>
        <w:tab w:val="left" w:pos="1077"/>
      </w:tabs>
      <w:outlineLvl w:val="2"/>
    </w:pPr>
    <w:rPr>
      <w:rFonts w:cs="Times New Roman"/>
      <w:b/>
      <w:lang w:eastAsia="zh-CN"/>
    </w:rPr>
  </w:style>
  <w:style w:type="paragraph" w:styleId="Heading4">
    <w:name w:val="heading 4"/>
    <w:basedOn w:val="Normal"/>
    <w:link w:val="Heading4Char"/>
    <w:uiPriority w:val="99"/>
    <w:qFormat/>
    <w:rsid w:val="00B95BBE"/>
    <w:pPr>
      <w:numPr>
        <w:ilvl w:val="3"/>
        <w:numId w:val="5"/>
      </w:numPr>
      <w:outlineLvl w:val="3"/>
    </w:pPr>
    <w:rPr>
      <w:rFonts w:cs="Times New Roman"/>
      <w:b/>
      <w:lang w:eastAsia="zh-CN"/>
    </w:rPr>
  </w:style>
  <w:style w:type="paragraph" w:styleId="Heading5">
    <w:name w:val="heading 5"/>
    <w:basedOn w:val="Normal"/>
    <w:link w:val="Heading5Char"/>
    <w:uiPriority w:val="99"/>
    <w:qFormat/>
    <w:rsid w:val="00B95BBE"/>
    <w:pPr>
      <w:numPr>
        <w:ilvl w:val="4"/>
        <w:numId w:val="5"/>
      </w:numPr>
      <w:tabs>
        <w:tab w:val="left" w:pos="1792"/>
      </w:tabs>
      <w:outlineLvl w:val="4"/>
    </w:pPr>
    <w:rPr>
      <w:rFonts w:cs="Times New Roman"/>
      <w:b/>
      <w:lang w:eastAsia="zh-CN"/>
    </w:rPr>
  </w:style>
  <w:style w:type="paragraph" w:styleId="Heading6">
    <w:name w:val="heading 6"/>
    <w:basedOn w:val="Normal"/>
    <w:link w:val="Heading6Char"/>
    <w:uiPriority w:val="99"/>
    <w:qFormat/>
    <w:rsid w:val="00B95BBE"/>
    <w:pPr>
      <w:numPr>
        <w:ilvl w:val="5"/>
        <w:numId w:val="5"/>
      </w:numPr>
      <w:outlineLvl w:val="5"/>
    </w:pPr>
    <w:rPr>
      <w:rFonts w:cs="Times New Roman"/>
      <w:b/>
      <w:lang w:eastAsia="zh-CN"/>
    </w:rPr>
  </w:style>
  <w:style w:type="paragraph" w:styleId="Heading7">
    <w:name w:val="heading 7"/>
    <w:basedOn w:val="Normal"/>
    <w:link w:val="Heading7Char"/>
    <w:uiPriority w:val="99"/>
    <w:qFormat/>
    <w:rsid w:val="00B95BBE"/>
    <w:pPr>
      <w:numPr>
        <w:ilvl w:val="6"/>
        <w:numId w:val="5"/>
      </w:numPr>
      <w:outlineLvl w:val="6"/>
    </w:pPr>
    <w:rPr>
      <w:rFonts w:cs="Times New Roman"/>
      <w:b/>
      <w:lang w:eastAsia="zh-CN"/>
    </w:rPr>
  </w:style>
  <w:style w:type="paragraph" w:styleId="Heading8">
    <w:name w:val="heading 8"/>
    <w:basedOn w:val="Normal"/>
    <w:link w:val="Heading8Char"/>
    <w:uiPriority w:val="99"/>
    <w:qFormat/>
    <w:rsid w:val="00B95BBE"/>
    <w:pPr>
      <w:numPr>
        <w:ilvl w:val="7"/>
        <w:numId w:val="5"/>
      </w:numPr>
      <w:outlineLvl w:val="7"/>
    </w:pPr>
    <w:rPr>
      <w:rFonts w:cs="Times New Roman"/>
      <w:b/>
      <w:lang w:eastAsia="zh-CN"/>
    </w:rPr>
  </w:style>
  <w:style w:type="paragraph" w:styleId="Heading9">
    <w:name w:val="heading 9"/>
    <w:basedOn w:val="Normal"/>
    <w:link w:val="Heading9Char"/>
    <w:uiPriority w:val="99"/>
    <w:qFormat/>
    <w:rsid w:val="00B95BBE"/>
    <w:pPr>
      <w:numPr>
        <w:ilvl w:val="8"/>
        <w:numId w:val="5"/>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95BBE"/>
    <w:rPr>
      <w:rFonts w:ascii="Tahoma" w:eastAsia="MS Mincho" w:hAnsi="Tahoma" w:cs="Times New Roman"/>
      <w:sz w:val="19"/>
      <w:szCs w:val="19"/>
      <w:lang w:eastAsia="zh-CN"/>
    </w:rPr>
  </w:style>
  <w:style w:type="character" w:customStyle="1" w:styleId="Heading2Char">
    <w:name w:val="Heading 2 Char"/>
    <w:basedOn w:val="DefaultParagraphFont"/>
    <w:link w:val="Heading2"/>
    <w:uiPriority w:val="99"/>
    <w:rsid w:val="00B95BBE"/>
    <w:rPr>
      <w:rFonts w:ascii="Tahoma" w:eastAsia="MS Mincho" w:hAnsi="Tahoma" w:cs="Times New Roman"/>
      <w:sz w:val="19"/>
      <w:szCs w:val="19"/>
      <w:lang w:eastAsia="zh-CN"/>
    </w:rPr>
  </w:style>
  <w:style w:type="character" w:customStyle="1" w:styleId="Heading3Char">
    <w:name w:val="Heading 3 Char"/>
    <w:basedOn w:val="DefaultParagraphFont"/>
    <w:link w:val="Heading3"/>
    <w:uiPriority w:val="99"/>
    <w:rsid w:val="00B95BBE"/>
    <w:rPr>
      <w:rFonts w:ascii="Tahoma" w:eastAsia="MS Mincho" w:hAnsi="Tahoma" w:cs="Times New Roman"/>
      <w:b/>
      <w:bCs/>
      <w:sz w:val="19"/>
      <w:szCs w:val="19"/>
      <w:lang w:eastAsia="zh-CN"/>
    </w:rPr>
  </w:style>
  <w:style w:type="character" w:customStyle="1" w:styleId="Heading4Char">
    <w:name w:val="Heading 4 Char"/>
    <w:basedOn w:val="DefaultParagraphFont"/>
    <w:link w:val="Heading4"/>
    <w:uiPriority w:val="99"/>
    <w:rsid w:val="00B95BBE"/>
    <w:rPr>
      <w:rFonts w:ascii="Tahoma" w:eastAsia="MS Mincho" w:hAnsi="Tahoma" w:cs="Times New Roman"/>
      <w:b/>
      <w:bCs/>
      <w:sz w:val="19"/>
      <w:szCs w:val="19"/>
      <w:lang w:eastAsia="zh-CN"/>
    </w:rPr>
  </w:style>
  <w:style w:type="character" w:customStyle="1" w:styleId="Heading5Char">
    <w:name w:val="Heading 5 Char"/>
    <w:basedOn w:val="DefaultParagraphFont"/>
    <w:link w:val="Heading5"/>
    <w:uiPriority w:val="99"/>
    <w:rsid w:val="00B95BBE"/>
    <w:rPr>
      <w:rFonts w:ascii="Tahoma" w:eastAsia="MS Mincho" w:hAnsi="Tahoma" w:cs="Times New Roman"/>
      <w:b/>
      <w:bCs/>
      <w:sz w:val="19"/>
      <w:szCs w:val="19"/>
      <w:lang w:eastAsia="zh-CN"/>
    </w:rPr>
  </w:style>
  <w:style w:type="character" w:customStyle="1" w:styleId="Heading6Char">
    <w:name w:val="Heading 6 Char"/>
    <w:basedOn w:val="DefaultParagraphFont"/>
    <w:link w:val="Heading6"/>
    <w:uiPriority w:val="99"/>
    <w:rsid w:val="00B95BBE"/>
    <w:rPr>
      <w:rFonts w:ascii="Tahoma" w:eastAsia="MS Mincho" w:hAnsi="Tahoma" w:cs="Times New Roman"/>
      <w:b/>
      <w:bCs/>
      <w:sz w:val="19"/>
      <w:szCs w:val="19"/>
      <w:lang w:eastAsia="zh-CN"/>
    </w:rPr>
  </w:style>
  <w:style w:type="character" w:customStyle="1" w:styleId="Heading7Char">
    <w:name w:val="Heading 7 Char"/>
    <w:basedOn w:val="DefaultParagraphFont"/>
    <w:link w:val="Heading7"/>
    <w:uiPriority w:val="99"/>
    <w:rsid w:val="00B95BBE"/>
    <w:rPr>
      <w:rFonts w:ascii="Tahoma" w:eastAsia="MS Mincho" w:hAnsi="Tahoma" w:cs="Times New Roman"/>
      <w:b/>
      <w:bCs/>
      <w:sz w:val="19"/>
      <w:szCs w:val="19"/>
      <w:lang w:eastAsia="zh-CN"/>
    </w:rPr>
  </w:style>
  <w:style w:type="character" w:customStyle="1" w:styleId="Heading8Char">
    <w:name w:val="Heading 8 Char"/>
    <w:basedOn w:val="DefaultParagraphFont"/>
    <w:link w:val="Heading8"/>
    <w:uiPriority w:val="99"/>
    <w:rsid w:val="00B95BBE"/>
    <w:rPr>
      <w:rFonts w:ascii="Tahoma" w:eastAsia="MS Mincho" w:hAnsi="Tahoma" w:cs="Times New Roman"/>
      <w:b/>
      <w:bCs/>
      <w:sz w:val="19"/>
      <w:szCs w:val="19"/>
      <w:lang w:eastAsia="zh-CN"/>
    </w:rPr>
  </w:style>
  <w:style w:type="character" w:customStyle="1" w:styleId="Heading9Char">
    <w:name w:val="Heading 9 Char"/>
    <w:basedOn w:val="DefaultParagraphFont"/>
    <w:link w:val="Heading9"/>
    <w:uiPriority w:val="99"/>
    <w:rsid w:val="00B95BBE"/>
    <w:rPr>
      <w:rFonts w:ascii="Tahoma" w:eastAsia="MS Mincho" w:hAnsi="Tahoma" w:cs="Times New Roman"/>
      <w:b/>
      <w:bCs/>
      <w:sz w:val="19"/>
      <w:szCs w:val="19"/>
      <w:lang w:eastAsia="zh-CN"/>
    </w:rPr>
  </w:style>
  <w:style w:type="paragraph" w:customStyle="1" w:styleId="Bullet2">
    <w:name w:val="Bullet 2"/>
    <w:basedOn w:val="Normal"/>
    <w:uiPriority w:val="99"/>
    <w:rsid w:val="00B95BBE"/>
    <w:pPr>
      <w:numPr>
        <w:numId w:val="1"/>
      </w:numPr>
    </w:pPr>
  </w:style>
  <w:style w:type="paragraph" w:customStyle="1" w:styleId="Bullet3">
    <w:name w:val="Bullet 3"/>
    <w:basedOn w:val="Normal"/>
    <w:link w:val="Bullet3Char1"/>
    <w:uiPriority w:val="99"/>
    <w:rsid w:val="00B95BBE"/>
    <w:pPr>
      <w:numPr>
        <w:numId w:val="2"/>
      </w:numPr>
    </w:pPr>
    <w:rPr>
      <w:rFonts w:cs="Times New Roman"/>
      <w:b/>
      <w:bCs w:val="0"/>
      <w:szCs w:val="20"/>
      <w:lang w:val="x-none" w:eastAsia="x-none"/>
    </w:rPr>
  </w:style>
  <w:style w:type="paragraph" w:customStyle="1" w:styleId="Bullet4">
    <w:name w:val="Bullet 4"/>
    <w:basedOn w:val="Normal"/>
    <w:uiPriority w:val="99"/>
    <w:rsid w:val="00B95BBE"/>
    <w:pPr>
      <w:numPr>
        <w:numId w:val="3"/>
      </w:numPr>
    </w:pPr>
  </w:style>
  <w:style w:type="paragraph" w:customStyle="1" w:styleId="Heading3Bold">
    <w:name w:val="Heading 3 Bold"/>
    <w:basedOn w:val="Heading3"/>
    <w:uiPriority w:val="99"/>
    <w:rsid w:val="00B95BBE"/>
    <w:pPr>
      <w:numPr>
        <w:numId w:val="4"/>
      </w:numPr>
    </w:pPr>
    <w:rPr>
      <w:bCs w:val="0"/>
    </w:rPr>
  </w:style>
  <w:style w:type="paragraph" w:styleId="FootnoteText">
    <w:name w:val="footnote text"/>
    <w:basedOn w:val="Normal"/>
    <w:link w:val="FootnoteTextChar"/>
    <w:uiPriority w:val="99"/>
    <w:semiHidden/>
    <w:rsid w:val="00B95BBE"/>
    <w:rPr>
      <w:rFonts w:cs="Times New Roman"/>
      <w:b/>
      <w:sz w:val="20"/>
      <w:szCs w:val="20"/>
    </w:rPr>
  </w:style>
  <w:style w:type="character" w:customStyle="1" w:styleId="FootnoteTextChar">
    <w:name w:val="Footnote Text Char"/>
    <w:basedOn w:val="DefaultParagraphFont"/>
    <w:link w:val="FootnoteText"/>
    <w:uiPriority w:val="99"/>
    <w:semiHidden/>
    <w:rsid w:val="00B95BBE"/>
    <w:rPr>
      <w:rFonts w:ascii="Tahoma" w:eastAsia="MS Mincho" w:hAnsi="Tahoma" w:cs="Times New Roman"/>
      <w:b/>
      <w:bCs/>
      <w:sz w:val="20"/>
      <w:szCs w:val="20"/>
    </w:rPr>
  </w:style>
  <w:style w:type="character" w:styleId="FootnoteReference">
    <w:name w:val="footnote reference"/>
    <w:uiPriority w:val="99"/>
    <w:semiHidden/>
    <w:rsid w:val="00B95BBE"/>
    <w:rPr>
      <w:vertAlign w:val="superscript"/>
    </w:rPr>
  </w:style>
  <w:style w:type="paragraph" w:styleId="ListParagraph">
    <w:name w:val="List Paragraph"/>
    <w:basedOn w:val="Normal"/>
    <w:uiPriority w:val="99"/>
    <w:qFormat/>
    <w:rsid w:val="00B95BBE"/>
    <w:pPr>
      <w:autoSpaceDE/>
      <w:autoSpaceDN/>
      <w:adjustRightInd/>
      <w:spacing w:before="0" w:after="0"/>
      <w:ind w:left="720"/>
    </w:pPr>
    <w:rPr>
      <w:rFonts w:ascii="Calibri" w:hAnsi="Calibri" w:cs="Times New Roman"/>
      <w:b/>
      <w:bCs w:val="0"/>
      <w:sz w:val="20"/>
      <w:szCs w:val="20"/>
    </w:rPr>
  </w:style>
  <w:style w:type="paragraph" w:customStyle="1" w:styleId="body2underline">
    <w:name w:val="body2underline"/>
    <w:basedOn w:val="Normal"/>
    <w:uiPriority w:val="99"/>
    <w:rsid w:val="00B95BBE"/>
    <w:pPr>
      <w:autoSpaceDE/>
      <w:autoSpaceDN/>
      <w:adjustRightInd/>
      <w:spacing w:after="120"/>
      <w:ind w:left="720"/>
    </w:pPr>
    <w:rPr>
      <w:b/>
      <w:bCs w:val="0"/>
      <w:u w:val="single"/>
    </w:rPr>
  </w:style>
  <w:style w:type="character" w:customStyle="1" w:styleId="Bullet3Char1">
    <w:name w:val="Bullet 3 Char1"/>
    <w:link w:val="Bullet3"/>
    <w:uiPriority w:val="99"/>
    <w:locked/>
    <w:rsid w:val="00B95BBE"/>
    <w:rPr>
      <w:rFonts w:ascii="Tahoma" w:eastAsia="MS Mincho" w:hAnsi="Tahoma" w:cs="Times New Roman"/>
      <w:b/>
      <w:sz w:val="19"/>
      <w:szCs w:val="20"/>
      <w:lang w:val="x-none" w:eastAsia="x-none"/>
    </w:rPr>
  </w:style>
  <w:style w:type="paragraph" w:styleId="NormalWeb">
    <w:name w:val="Normal (Web)"/>
    <w:basedOn w:val="Normal"/>
    <w:uiPriority w:val="99"/>
    <w:rsid w:val="00B95BBE"/>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B95B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B95BBE"/>
    <w:pPr>
      <w:numPr>
        <w:numId w:val="0"/>
      </w:numPr>
      <w:autoSpaceDE/>
      <w:autoSpaceDN/>
      <w:adjustRightInd/>
      <w:spacing w:before="0" w:after="0"/>
      <w:jc w:val="center"/>
    </w:pPr>
    <w:rPr>
      <w:rFonts w:eastAsiaTheme="minorHAnsi" w:cstheme="minorBidi"/>
      <w:b/>
      <w:color w:val="FFFFFF"/>
      <w:sz w:val="24"/>
      <w:szCs w:val="22"/>
      <w:u w:color="FFFFFF"/>
      <w:vertAlign w:val="superscript"/>
      <w:lang w:eastAsia="en-US"/>
    </w:rPr>
  </w:style>
  <w:style w:type="character" w:customStyle="1" w:styleId="LogoportDoNotTranslate">
    <w:name w:val="LogoportDoNotTranslate"/>
    <w:uiPriority w:val="99"/>
    <w:rsid w:val="00B95BBE"/>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4014</Words>
  <Characters>22885</Characters>
  <Application>Microsoft Office Word</Application>
  <DocSecurity>0</DocSecurity>
  <Lines>190</Lines>
  <Paragraphs>53</Paragraphs>
  <ScaleCrop>false</ScaleCrop>
  <Company/>
  <LinksUpToDate>false</LinksUpToDate>
  <CharactersWithSpaces>26846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2013-03-26T19:01:00Z</dcterms:created>
  <dcterms:modified xsi:type="dcterms:W3CDTF">2013-03-26T19:01:00Z</dcterms:modified>
</cp:coreProperties>
</file>